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17" w:rsidRPr="00E369CF" w:rsidRDefault="006C5C17" w:rsidP="00E369CF">
      <w:pPr>
        <w:pStyle w:val="Heading1"/>
      </w:pPr>
    </w:p>
    <w:p w:rsidR="00527728" w:rsidRPr="001179A4" w:rsidRDefault="00527728" w:rsidP="00527728">
      <w:pPr>
        <w:keepNext/>
        <w:jc w:val="center"/>
        <w:outlineLvl w:val="1"/>
        <w:rPr>
          <w:b/>
          <w:bCs/>
          <w:i/>
          <w:iCs/>
          <w:sz w:val="40"/>
          <w:szCs w:val="40"/>
        </w:rPr>
      </w:pPr>
      <w:r w:rsidRPr="001179A4">
        <w:rPr>
          <w:b/>
          <w:bCs/>
          <w:i/>
          <w:iCs/>
          <w:sz w:val="40"/>
          <w:szCs w:val="40"/>
        </w:rPr>
        <w:t>Shawnee National Forest</w:t>
      </w:r>
    </w:p>
    <w:p w:rsidR="00527728" w:rsidRPr="00FC1CFD" w:rsidRDefault="00527728" w:rsidP="00527728"/>
    <w:p w:rsidR="00527728" w:rsidRPr="00FC1CFD" w:rsidRDefault="00527728" w:rsidP="00527728">
      <w:pPr>
        <w:jc w:val="center"/>
      </w:pPr>
      <w:r>
        <w:rPr>
          <w:noProof/>
        </w:rPr>
        <w:drawing>
          <wp:inline distT="0" distB="0" distL="0" distR="0" wp14:anchorId="537A5C6D" wp14:editId="1838A07F">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341" cy="1419225"/>
                    </a:xfrm>
                    <a:prstGeom prst="rect">
                      <a:avLst/>
                    </a:prstGeom>
                  </pic:spPr>
                </pic:pic>
              </a:graphicData>
            </a:graphic>
          </wp:inline>
        </w:drawing>
      </w:r>
      <w:r>
        <w:rPr>
          <w:noProof/>
        </w:rPr>
        <w:drawing>
          <wp:inline distT="0" distB="0" distL="0" distR="0" wp14:anchorId="4F71F0AB" wp14:editId="612AA35D">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Pr>
          <w:noProof/>
        </w:rPr>
        <w:drawing>
          <wp:inline distT="0" distB="0" distL="0" distR="0" wp14:anchorId="3BCA1F6C" wp14:editId="542436A5">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417191"/>
                    </a:xfrm>
                    <a:prstGeom prst="rect">
                      <a:avLst/>
                    </a:prstGeom>
                  </pic:spPr>
                </pic:pic>
              </a:graphicData>
            </a:graphic>
          </wp:inline>
        </w:drawing>
      </w:r>
      <w:r>
        <w:rPr>
          <w:noProof/>
        </w:rPr>
        <w:drawing>
          <wp:inline distT="0" distB="0" distL="0" distR="0" wp14:anchorId="0C512B91" wp14:editId="2101021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527728" w:rsidRPr="001179A4" w:rsidRDefault="00527728" w:rsidP="00527728">
      <w:pPr>
        <w:rPr>
          <w:b/>
          <w:color w:val="000000" w:themeColor="text1"/>
          <w:sz w:val="16"/>
          <w:szCs w:val="16"/>
        </w:rPr>
      </w:pPr>
    </w:p>
    <w:p w:rsidR="00527728" w:rsidRPr="001179A4" w:rsidRDefault="00527728" w:rsidP="00527728">
      <w:pPr>
        <w:jc w:val="center"/>
        <w:rPr>
          <w:b/>
          <w:i/>
          <w:iCs/>
          <w:color w:val="000000" w:themeColor="text1"/>
        </w:rPr>
      </w:pPr>
      <w:r w:rsidRPr="001179A4">
        <w:rPr>
          <w:b/>
          <w:i/>
          <w:iCs/>
          <w:color w:val="000000" w:themeColor="text1"/>
        </w:rPr>
        <w:t>“Caring for the Land and Serving People”</w:t>
      </w:r>
    </w:p>
    <w:p w:rsidR="00527728" w:rsidRPr="000237E1" w:rsidRDefault="00527728" w:rsidP="00527728">
      <w:pPr>
        <w:jc w:val="center"/>
        <w:rPr>
          <w:i/>
          <w:iCs/>
        </w:rPr>
      </w:pPr>
      <w:r w:rsidRPr="00FC1CFD">
        <w:rPr>
          <w:b/>
          <w:bCs/>
          <w:noProof/>
          <w:sz w:val="36"/>
        </w:rPr>
        <w:t xml:space="preserve">                                                              </w:t>
      </w:r>
    </w:p>
    <w:p w:rsidR="00527728" w:rsidRDefault="00527728" w:rsidP="00527728">
      <w:pPr>
        <w:keepNext/>
        <w:jc w:val="center"/>
        <w:outlineLvl w:val="0"/>
        <w:rPr>
          <w:b/>
          <w:bCs/>
          <w:sz w:val="36"/>
        </w:rPr>
      </w:pPr>
      <w:r>
        <w:rPr>
          <w:b/>
          <w:bCs/>
          <w:noProof/>
          <w:sz w:val="36"/>
        </w:rPr>
        <w:drawing>
          <wp:inline distT="0" distB="0" distL="0" distR="0" wp14:anchorId="3EB8F5FB" wp14:editId="58C173AD">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0">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E04823" w:rsidRDefault="00E04823" w:rsidP="00E04823">
      <w:pPr>
        <w:pStyle w:val="Heading1"/>
      </w:pPr>
    </w:p>
    <w:p w:rsidR="001C613D" w:rsidRPr="001C613D" w:rsidRDefault="001C613D" w:rsidP="001C613D"/>
    <w:p w:rsidR="00E04823" w:rsidRPr="007300CB" w:rsidRDefault="007D2375" w:rsidP="00E04823">
      <w:pPr>
        <w:pStyle w:val="Heading1"/>
      </w:pPr>
      <w:r>
        <w:t>OUTREACH</w:t>
      </w:r>
      <w:r w:rsidR="00527728">
        <w:t xml:space="preserve"> NOTICE</w:t>
      </w:r>
    </w:p>
    <w:p w:rsidR="00E04823" w:rsidRPr="00C92221" w:rsidRDefault="00E04823" w:rsidP="00E04823">
      <w:pPr>
        <w:jc w:val="center"/>
        <w:rPr>
          <w:b/>
          <w:bCs/>
          <w:sz w:val="16"/>
          <w:szCs w:val="16"/>
        </w:rPr>
      </w:pPr>
    </w:p>
    <w:p w:rsidR="00E04823" w:rsidRPr="007300CB" w:rsidRDefault="007D2375" w:rsidP="00E04823">
      <w:pPr>
        <w:pStyle w:val="Heading2"/>
        <w:rPr>
          <w:u w:val="single"/>
        </w:rPr>
      </w:pPr>
      <w:r>
        <w:rPr>
          <w:u w:val="single"/>
        </w:rPr>
        <w:t>Customer Service Representative</w:t>
      </w:r>
    </w:p>
    <w:p w:rsidR="00E04823" w:rsidRPr="007300CB" w:rsidRDefault="00E04823" w:rsidP="00E04823">
      <w:pPr>
        <w:pStyle w:val="Heading2"/>
      </w:pPr>
      <w:r w:rsidRPr="007300CB">
        <w:t>GS-</w:t>
      </w:r>
      <w:r w:rsidR="007D2375">
        <w:t>0303-05</w:t>
      </w:r>
    </w:p>
    <w:p w:rsidR="00E04823" w:rsidRDefault="00E04823" w:rsidP="00E04823">
      <w:pPr>
        <w:pStyle w:val="Heading2"/>
        <w:rPr>
          <w:sz w:val="24"/>
        </w:rPr>
      </w:pPr>
    </w:p>
    <w:p w:rsidR="00E04823" w:rsidRPr="001342C0" w:rsidRDefault="00E04823" w:rsidP="00E04823"/>
    <w:p w:rsidR="00812511" w:rsidRDefault="00E04823" w:rsidP="00030619">
      <w:pPr>
        <w:pStyle w:val="BodyText"/>
        <w:rPr>
          <w:sz w:val="24"/>
        </w:rPr>
      </w:pPr>
      <w:r w:rsidRPr="007300CB">
        <w:rPr>
          <w:sz w:val="24"/>
        </w:rPr>
        <w:t xml:space="preserve">The </w:t>
      </w:r>
      <w:r>
        <w:rPr>
          <w:sz w:val="24"/>
        </w:rPr>
        <w:t>Shawnee</w:t>
      </w:r>
      <w:r w:rsidRPr="007300CB">
        <w:rPr>
          <w:sz w:val="24"/>
        </w:rPr>
        <w:t xml:space="preserve"> National Forest will soon be advertising </w:t>
      </w:r>
      <w:r>
        <w:rPr>
          <w:sz w:val="24"/>
        </w:rPr>
        <w:t>a GS-</w:t>
      </w:r>
      <w:r w:rsidR="007D2375">
        <w:rPr>
          <w:sz w:val="24"/>
        </w:rPr>
        <w:t>0303-5 Customer Service Representative (CSR)</w:t>
      </w:r>
      <w:r>
        <w:rPr>
          <w:sz w:val="24"/>
        </w:rPr>
        <w:t xml:space="preserve"> Position</w:t>
      </w:r>
      <w:r w:rsidRPr="007300CB">
        <w:rPr>
          <w:sz w:val="24"/>
        </w:rPr>
        <w:t xml:space="preserve">.  </w:t>
      </w:r>
      <w:r>
        <w:rPr>
          <w:sz w:val="24"/>
        </w:rPr>
        <w:t xml:space="preserve">The position is a </w:t>
      </w:r>
      <w:r w:rsidRPr="007A6C0A">
        <w:rPr>
          <w:b/>
          <w:sz w:val="24"/>
        </w:rPr>
        <w:t>permanent</w:t>
      </w:r>
      <w:r>
        <w:rPr>
          <w:b/>
          <w:sz w:val="24"/>
        </w:rPr>
        <w:t xml:space="preserve"> full-time appointment</w:t>
      </w:r>
      <w:r w:rsidR="00694821">
        <w:rPr>
          <w:sz w:val="24"/>
        </w:rPr>
        <w:t xml:space="preserve"> </w:t>
      </w:r>
      <w:r w:rsidR="007D2375">
        <w:rPr>
          <w:sz w:val="24"/>
        </w:rPr>
        <w:t>with the duty station</w:t>
      </w:r>
      <w:r w:rsidRPr="007300CB">
        <w:rPr>
          <w:sz w:val="24"/>
        </w:rPr>
        <w:t xml:space="preserve"> in </w:t>
      </w:r>
      <w:r w:rsidR="003B7C1A">
        <w:rPr>
          <w:sz w:val="24"/>
        </w:rPr>
        <w:t xml:space="preserve">either Jonesboro or </w:t>
      </w:r>
      <w:r w:rsidR="00C97DBD">
        <w:rPr>
          <w:sz w:val="24"/>
        </w:rPr>
        <w:t>Vienna, IL</w:t>
      </w:r>
      <w:r w:rsidRPr="007300CB">
        <w:rPr>
          <w:sz w:val="24"/>
        </w:rPr>
        <w:t>.  The purpose of this Outreach Notice is to inform prospective applicants of this opportunity.</w:t>
      </w:r>
      <w:r>
        <w:rPr>
          <w:sz w:val="24"/>
        </w:rPr>
        <w:t xml:space="preserve">  </w:t>
      </w:r>
    </w:p>
    <w:p w:rsidR="00812511" w:rsidRDefault="00812511" w:rsidP="00030619">
      <w:pPr>
        <w:pStyle w:val="BodyText"/>
        <w:rPr>
          <w:sz w:val="24"/>
        </w:rPr>
      </w:pPr>
    </w:p>
    <w:p w:rsidR="00812511" w:rsidRPr="00102079" w:rsidRDefault="00812511" w:rsidP="00812511">
      <w:pPr>
        <w:pStyle w:val="BodyText"/>
        <w:jc w:val="center"/>
        <w:rPr>
          <w:b/>
          <w:bCs/>
          <w:i/>
          <w:iCs/>
          <w:szCs w:val="28"/>
        </w:rPr>
      </w:pPr>
      <w:r w:rsidRPr="00102079">
        <w:rPr>
          <w:b/>
          <w:bCs/>
          <w:i/>
          <w:iCs/>
          <w:szCs w:val="28"/>
        </w:rPr>
        <w:t>Anyone interested is encouraged to complete the attached</w:t>
      </w:r>
    </w:p>
    <w:p w:rsidR="00D0341D" w:rsidRPr="00102079" w:rsidRDefault="00527728" w:rsidP="00D0341D">
      <w:pPr>
        <w:pStyle w:val="BodyText"/>
        <w:jc w:val="center"/>
        <w:rPr>
          <w:b/>
          <w:bCs/>
          <w:i/>
          <w:iCs/>
          <w:szCs w:val="28"/>
        </w:rPr>
      </w:pPr>
      <w:r w:rsidRPr="00102079">
        <w:rPr>
          <w:b/>
          <w:bCs/>
          <w:i/>
          <w:iCs/>
          <w:szCs w:val="28"/>
        </w:rPr>
        <w:t xml:space="preserve"> Outreach Response Form</w:t>
      </w:r>
      <w:r w:rsidR="007D2375" w:rsidRPr="00102079">
        <w:rPr>
          <w:b/>
          <w:bCs/>
          <w:i/>
          <w:iCs/>
          <w:szCs w:val="28"/>
        </w:rPr>
        <w:t>.  You will still need to apply for the job separately.</w:t>
      </w:r>
    </w:p>
    <w:p w:rsidR="00812511" w:rsidRPr="00102079" w:rsidRDefault="00253048" w:rsidP="007D2375">
      <w:pPr>
        <w:pStyle w:val="NoSpacing"/>
        <w:jc w:val="center"/>
        <w:rPr>
          <w:rFonts w:ascii="Times New Roman" w:hAnsi="Times New Roman" w:cs="Times New Roman"/>
          <w:b/>
          <w:i/>
          <w:sz w:val="28"/>
          <w:szCs w:val="28"/>
          <w:highlight w:val="yellow"/>
        </w:rPr>
      </w:pPr>
      <w:r w:rsidRPr="00102079">
        <w:rPr>
          <w:b/>
          <w:bCs/>
          <w:i/>
          <w:iCs/>
          <w:sz w:val="28"/>
          <w:szCs w:val="28"/>
        </w:rPr>
        <w:br/>
      </w:r>
      <w:r w:rsidR="00527728" w:rsidRPr="00102079">
        <w:rPr>
          <w:rFonts w:ascii="Times New Roman" w:hAnsi="Times New Roman" w:cs="Times New Roman"/>
          <w:b/>
          <w:i/>
          <w:sz w:val="28"/>
          <w:szCs w:val="28"/>
          <w:highlight w:val="yellow"/>
        </w:rPr>
        <w:t>Please reply</w:t>
      </w:r>
      <w:r w:rsidR="007D2375" w:rsidRPr="00102079">
        <w:rPr>
          <w:rFonts w:ascii="Times New Roman" w:hAnsi="Times New Roman" w:cs="Times New Roman"/>
          <w:b/>
          <w:i/>
          <w:sz w:val="28"/>
          <w:szCs w:val="28"/>
          <w:highlight w:val="yellow"/>
        </w:rPr>
        <w:t xml:space="preserve"> to this outreach </w:t>
      </w:r>
      <w:r w:rsidR="00527728" w:rsidRPr="00102079">
        <w:rPr>
          <w:rFonts w:ascii="Times New Roman" w:hAnsi="Times New Roman" w:cs="Times New Roman"/>
          <w:b/>
          <w:i/>
          <w:sz w:val="28"/>
          <w:szCs w:val="28"/>
          <w:highlight w:val="yellow"/>
        </w:rPr>
        <w:t>by</w:t>
      </w:r>
      <w:r w:rsidR="007D2375" w:rsidRPr="00102079">
        <w:rPr>
          <w:rFonts w:ascii="Times New Roman" w:hAnsi="Times New Roman" w:cs="Times New Roman"/>
          <w:b/>
          <w:i/>
          <w:sz w:val="28"/>
          <w:szCs w:val="28"/>
          <w:highlight w:val="yellow"/>
        </w:rPr>
        <w:t xml:space="preserve"> </w:t>
      </w:r>
      <w:r w:rsidR="003B7C1A" w:rsidRPr="00102079">
        <w:rPr>
          <w:rFonts w:ascii="Times New Roman" w:hAnsi="Times New Roman" w:cs="Times New Roman"/>
          <w:b/>
          <w:i/>
          <w:sz w:val="28"/>
          <w:szCs w:val="28"/>
          <w:highlight w:val="yellow"/>
        </w:rPr>
        <w:t>November 17, 2014</w:t>
      </w:r>
      <w:r w:rsidR="007D2375" w:rsidRPr="00102079">
        <w:rPr>
          <w:rFonts w:ascii="Times New Roman" w:hAnsi="Times New Roman" w:cs="Times New Roman"/>
          <w:b/>
          <w:i/>
          <w:sz w:val="28"/>
          <w:szCs w:val="28"/>
          <w:highlight w:val="yellow"/>
        </w:rPr>
        <w:t>.</w:t>
      </w:r>
      <w:r w:rsidR="00812511" w:rsidRPr="00102079">
        <w:rPr>
          <w:b/>
          <w:bCs/>
          <w:i/>
          <w:iCs/>
          <w:sz w:val="28"/>
          <w:szCs w:val="28"/>
        </w:rPr>
        <w:t xml:space="preserve"> </w:t>
      </w:r>
    </w:p>
    <w:p w:rsidR="00812511" w:rsidRDefault="00812511" w:rsidP="00812511">
      <w:pPr>
        <w:rPr>
          <w:b/>
          <w:bCs/>
          <w:u w:val="single"/>
        </w:rPr>
      </w:pPr>
    </w:p>
    <w:p w:rsidR="00812511" w:rsidRDefault="00812511" w:rsidP="00812511">
      <w:pPr>
        <w:rPr>
          <w:b/>
          <w:bCs/>
          <w:u w:val="single"/>
        </w:rPr>
      </w:pPr>
    </w:p>
    <w:p w:rsidR="00812511" w:rsidRDefault="00812511" w:rsidP="00812511">
      <w:pPr>
        <w:rPr>
          <w:b/>
          <w:bCs/>
          <w:u w:val="single"/>
        </w:rPr>
      </w:pPr>
    </w:p>
    <w:p w:rsidR="00812511" w:rsidRDefault="00812511" w:rsidP="00812511">
      <w:pPr>
        <w:rPr>
          <w:b/>
          <w:bCs/>
          <w:u w:val="single"/>
        </w:rPr>
      </w:pPr>
    </w:p>
    <w:p w:rsidR="00812511" w:rsidRDefault="00812511" w:rsidP="00812511">
      <w:pPr>
        <w:rPr>
          <w:b/>
          <w:bCs/>
          <w:u w:val="single"/>
        </w:rPr>
      </w:pPr>
    </w:p>
    <w:p w:rsidR="00527728" w:rsidRDefault="00527728" w:rsidP="00812511">
      <w:pPr>
        <w:rPr>
          <w:b/>
          <w:bCs/>
          <w:u w:val="single"/>
        </w:rPr>
      </w:pPr>
    </w:p>
    <w:p w:rsidR="00527728" w:rsidRDefault="00527728" w:rsidP="00812511">
      <w:pPr>
        <w:rPr>
          <w:b/>
          <w:bCs/>
          <w:u w:val="single"/>
        </w:rPr>
      </w:pPr>
    </w:p>
    <w:p w:rsidR="00527728" w:rsidRDefault="00527728" w:rsidP="00812511">
      <w:pPr>
        <w:rPr>
          <w:b/>
          <w:bCs/>
          <w:u w:val="single"/>
        </w:rPr>
      </w:pPr>
    </w:p>
    <w:p w:rsidR="00812511" w:rsidRDefault="00812511" w:rsidP="00812511">
      <w:pPr>
        <w:rPr>
          <w:b/>
          <w:bCs/>
          <w:u w:val="single"/>
        </w:rPr>
      </w:pPr>
    </w:p>
    <w:p w:rsidR="00812511" w:rsidRDefault="00812511" w:rsidP="00812511">
      <w:pPr>
        <w:rPr>
          <w:b/>
          <w:bCs/>
          <w:u w:val="single"/>
        </w:rPr>
      </w:pPr>
    </w:p>
    <w:p w:rsidR="00812511" w:rsidRPr="00102079" w:rsidRDefault="00102079" w:rsidP="00812511">
      <w:pPr>
        <w:rPr>
          <w:b/>
          <w:bCs/>
          <w:i/>
          <w:iCs/>
          <w:sz w:val="28"/>
          <w:szCs w:val="28"/>
        </w:rPr>
      </w:pPr>
      <w:r w:rsidRPr="00102079">
        <w:rPr>
          <w:b/>
          <w:bCs/>
          <w:i/>
          <w:u w:val="single"/>
        </w:rPr>
        <w:lastRenderedPageBreak/>
        <w:t>The Position</w:t>
      </w:r>
      <w:r w:rsidR="00253048" w:rsidRPr="00102079">
        <w:rPr>
          <w:b/>
          <w:bCs/>
          <w:i/>
          <w:u w:val="single"/>
        </w:rPr>
        <w:t>:</w:t>
      </w:r>
    </w:p>
    <w:p w:rsidR="00812511" w:rsidRPr="007300CB" w:rsidRDefault="00812511" w:rsidP="00812511">
      <w:pPr>
        <w:pStyle w:val="BodyText"/>
        <w:rPr>
          <w:b/>
          <w:bCs/>
          <w:sz w:val="24"/>
        </w:rPr>
      </w:pPr>
    </w:p>
    <w:p w:rsidR="00812511" w:rsidRDefault="00812511" w:rsidP="00812511">
      <w:pPr>
        <w:pStyle w:val="BodyText"/>
        <w:rPr>
          <w:sz w:val="24"/>
        </w:rPr>
      </w:pPr>
      <w:r>
        <w:rPr>
          <w:bCs/>
          <w:sz w:val="24"/>
        </w:rPr>
        <w:t xml:space="preserve">The </w:t>
      </w:r>
      <w:r w:rsidR="007D2375">
        <w:rPr>
          <w:bCs/>
          <w:sz w:val="24"/>
        </w:rPr>
        <w:t>Customer Service Representative</w:t>
      </w:r>
      <w:r w:rsidRPr="00CF4107">
        <w:rPr>
          <w:bCs/>
          <w:sz w:val="24"/>
        </w:rPr>
        <w:t xml:space="preserve"> reports </w:t>
      </w:r>
      <w:r>
        <w:rPr>
          <w:bCs/>
          <w:sz w:val="24"/>
        </w:rPr>
        <w:t xml:space="preserve">directly </w:t>
      </w:r>
      <w:r w:rsidRPr="00CF4107">
        <w:rPr>
          <w:bCs/>
          <w:sz w:val="24"/>
        </w:rPr>
        <w:t xml:space="preserve">to the </w:t>
      </w:r>
      <w:r w:rsidR="007D2375">
        <w:rPr>
          <w:bCs/>
          <w:sz w:val="24"/>
        </w:rPr>
        <w:t>Support Services Supervisor</w:t>
      </w:r>
      <w:r w:rsidRPr="00CF4107">
        <w:rPr>
          <w:bCs/>
          <w:sz w:val="24"/>
        </w:rPr>
        <w:t xml:space="preserve"> </w:t>
      </w:r>
      <w:r>
        <w:rPr>
          <w:sz w:val="24"/>
        </w:rPr>
        <w:t>and is resp</w:t>
      </w:r>
      <w:r w:rsidR="006A605A">
        <w:rPr>
          <w:sz w:val="24"/>
        </w:rPr>
        <w:t>onsible for</w:t>
      </w:r>
      <w:r w:rsidR="000F19BD">
        <w:rPr>
          <w:sz w:val="24"/>
        </w:rPr>
        <w:t xml:space="preserve"> responding t</w:t>
      </w:r>
      <w:r w:rsidR="008735D6">
        <w:rPr>
          <w:sz w:val="24"/>
        </w:rPr>
        <w:t xml:space="preserve">o routine inquiries from </w:t>
      </w:r>
      <w:r w:rsidR="000F19BD">
        <w:rPr>
          <w:sz w:val="24"/>
        </w:rPr>
        <w:t>customers and employees in support of the overall operations of the unit.</w:t>
      </w:r>
      <w:r w:rsidR="00380F36">
        <w:rPr>
          <w:sz w:val="24"/>
        </w:rPr>
        <w:t xml:space="preserve">  At times, the position will require the </w:t>
      </w:r>
      <w:r w:rsidR="000F19BD">
        <w:rPr>
          <w:sz w:val="24"/>
        </w:rPr>
        <w:t>incumbent to work</w:t>
      </w:r>
      <w:r w:rsidR="00380F36">
        <w:rPr>
          <w:sz w:val="24"/>
        </w:rPr>
        <w:t xml:space="preserve"> weekends. </w:t>
      </w:r>
    </w:p>
    <w:p w:rsidR="00812511" w:rsidRDefault="00031006" w:rsidP="00812511">
      <w:pPr>
        <w:pStyle w:val="BodyTextIndent"/>
        <w:ind w:left="0"/>
      </w:pPr>
      <w:r>
        <w:br/>
      </w:r>
      <w:r w:rsidR="00812511">
        <w:t>Specifically, the incumbent will:</w:t>
      </w:r>
    </w:p>
    <w:p w:rsidR="008359B8" w:rsidRDefault="006A605A" w:rsidP="008359B8">
      <w:pPr>
        <w:pStyle w:val="BodyTextIndent"/>
        <w:numPr>
          <w:ilvl w:val="0"/>
          <w:numId w:val="4"/>
        </w:numPr>
      </w:pPr>
      <w:r>
        <w:t xml:space="preserve">Assist in greeting visitors, answering telephones and providing information to both the public and employees.  Answer or coordinate response to routine </w:t>
      </w:r>
      <w:r w:rsidR="00102079">
        <w:t>inquiries</w:t>
      </w:r>
      <w:r>
        <w:t>.</w:t>
      </w:r>
      <w:r w:rsidR="00E5333E">
        <w:t xml:space="preserve">  </w:t>
      </w:r>
    </w:p>
    <w:p w:rsidR="00812511" w:rsidRDefault="00A76ED1" w:rsidP="0033425A">
      <w:pPr>
        <w:pStyle w:val="BodyTextIndent"/>
        <w:numPr>
          <w:ilvl w:val="0"/>
          <w:numId w:val="4"/>
        </w:numPr>
      </w:pPr>
      <w:r>
        <w:t>Serve as</w:t>
      </w:r>
      <w:r w:rsidR="00916834">
        <w:t xml:space="preserve"> Unit</w:t>
      </w:r>
      <w:r>
        <w:t xml:space="preserve"> Collection Officer for maps, fuel </w:t>
      </w:r>
      <w:r w:rsidR="00F27E73">
        <w:t>wood permits, Interagency Passes</w:t>
      </w:r>
      <w:r>
        <w:t>, recreation collections and other goods and services.</w:t>
      </w:r>
    </w:p>
    <w:p w:rsidR="00812511" w:rsidRDefault="006A605A" w:rsidP="0033425A">
      <w:pPr>
        <w:pStyle w:val="BodyTextIndent"/>
        <w:numPr>
          <w:ilvl w:val="0"/>
          <w:numId w:val="4"/>
        </w:numPr>
      </w:pPr>
      <w:r>
        <w:t>Maintain a government purchase card and check writing authority for purchasing supplies.</w:t>
      </w:r>
    </w:p>
    <w:p w:rsidR="00812511" w:rsidRDefault="006A605A" w:rsidP="0033425A">
      <w:pPr>
        <w:pStyle w:val="BodyTextIndent"/>
        <w:numPr>
          <w:ilvl w:val="0"/>
          <w:numId w:val="4"/>
        </w:numPr>
      </w:pPr>
      <w:r>
        <w:t>Monitor the administrative facilities and performance of basic service contracts for office cleaning and ground maintenance.</w:t>
      </w:r>
    </w:p>
    <w:p w:rsidR="00380F36" w:rsidRDefault="006A605A" w:rsidP="00252C1A">
      <w:pPr>
        <w:pStyle w:val="BodyTextIndent"/>
        <w:numPr>
          <w:ilvl w:val="0"/>
          <w:numId w:val="4"/>
        </w:numPr>
      </w:pPr>
      <w:r>
        <w:t>Maintain and update</w:t>
      </w:r>
      <w:r w:rsidR="00252C1A">
        <w:t xml:space="preserve"> Forest Service information displays for the public to access.</w:t>
      </w:r>
    </w:p>
    <w:p w:rsidR="00252C1A" w:rsidRDefault="00252C1A" w:rsidP="00252C1A">
      <w:pPr>
        <w:pStyle w:val="BodyTextIndent"/>
        <w:numPr>
          <w:ilvl w:val="0"/>
          <w:numId w:val="4"/>
        </w:numPr>
      </w:pPr>
      <w:r>
        <w:t>Maintain the office filing system and coordinate records for the unit.</w:t>
      </w:r>
    </w:p>
    <w:p w:rsidR="00684879" w:rsidRDefault="00252C1A" w:rsidP="0033425A">
      <w:pPr>
        <w:pStyle w:val="BodyTextIndent"/>
        <w:numPr>
          <w:ilvl w:val="0"/>
          <w:numId w:val="4"/>
        </w:numPr>
      </w:pPr>
      <w:r>
        <w:t>Assist with the correspondence and various other databases for the unit.</w:t>
      </w:r>
    </w:p>
    <w:p w:rsidR="00252C1A" w:rsidRPr="006931B5" w:rsidRDefault="00252C1A" w:rsidP="0033425A">
      <w:pPr>
        <w:pStyle w:val="BodyTextIndent"/>
        <w:numPr>
          <w:ilvl w:val="0"/>
          <w:numId w:val="4"/>
        </w:numPr>
      </w:pPr>
      <w:r>
        <w:t>Present Conservation Education Program</w:t>
      </w:r>
      <w:r w:rsidR="0078047D">
        <w:t>s</w:t>
      </w:r>
      <w:r>
        <w:t xml:space="preserve"> at local venues.</w:t>
      </w:r>
    </w:p>
    <w:p w:rsidR="00571B79" w:rsidRPr="009A7083" w:rsidRDefault="00571B79" w:rsidP="00812511">
      <w:pPr>
        <w:pStyle w:val="BodyText"/>
        <w:rPr>
          <w:sz w:val="24"/>
        </w:rPr>
      </w:pPr>
    </w:p>
    <w:p w:rsidR="00527728" w:rsidRPr="009A59B7" w:rsidRDefault="00527728" w:rsidP="00527728">
      <w:pPr>
        <w:rPr>
          <w:b/>
          <w:i/>
          <w:u w:val="single"/>
        </w:rPr>
      </w:pPr>
      <w:r w:rsidRPr="009A59B7">
        <w:rPr>
          <w:b/>
          <w:bCs/>
          <w:i/>
          <w:iCs/>
          <w:u w:val="single"/>
        </w:rPr>
        <w:t>Application Process</w:t>
      </w:r>
      <w:r w:rsidRPr="009A59B7">
        <w:rPr>
          <w:b/>
          <w:i/>
          <w:u w:val="single"/>
        </w:rPr>
        <w:t>:</w:t>
      </w:r>
    </w:p>
    <w:p w:rsidR="00527728" w:rsidRPr="009556DE" w:rsidRDefault="00527728" w:rsidP="00527728">
      <w:pPr>
        <w:rPr>
          <w:rFonts w:eastAsia="Calibri"/>
          <w:i/>
          <w:color w:val="000000"/>
          <w:highlight w:val="cyan"/>
          <w:u w:val="single"/>
        </w:rPr>
      </w:pPr>
    </w:p>
    <w:p w:rsidR="00D722A1" w:rsidRPr="000F6A59" w:rsidRDefault="00D722A1" w:rsidP="00D722A1">
      <w:bookmarkStart w:id="0" w:name="overview"/>
      <w:bookmarkEnd w:id="0"/>
      <w:r w:rsidRPr="000F6A59">
        <w:t xml:space="preserve">This position will be posted on </w:t>
      </w:r>
      <w:hyperlink r:id="rId11" w:history="1">
        <w:r w:rsidRPr="00A939D3">
          <w:rPr>
            <w:rStyle w:val="Hyperlink"/>
          </w:rPr>
          <w:t>USAJobs</w:t>
        </w:r>
      </w:hyperlink>
      <w:r>
        <w:t xml:space="preserve"> </w:t>
      </w:r>
      <w:r w:rsidRPr="000F6A59">
        <w:t>and applications will be processed through an on-line applicant assessment system that has been specifically configured for the USDA Forest Service.  Applicants must have a profile in USAjobs to apply.</w:t>
      </w:r>
    </w:p>
    <w:p w:rsidR="00527728" w:rsidRDefault="00527728" w:rsidP="00527728">
      <w:pPr>
        <w:pStyle w:val="BodyText"/>
        <w:rPr>
          <w:color w:val="FF0000"/>
          <w:sz w:val="24"/>
        </w:rPr>
      </w:pPr>
    </w:p>
    <w:p w:rsidR="00527728" w:rsidRPr="00EC17CF" w:rsidRDefault="00527728" w:rsidP="00527728">
      <w:pPr>
        <w:rPr>
          <w:b/>
          <w:i/>
          <w:u w:val="single"/>
        </w:rPr>
      </w:pPr>
      <w:r w:rsidRPr="00EC17CF">
        <w:rPr>
          <w:noProof/>
        </w:rPr>
        <w:drawing>
          <wp:anchor distT="0" distB="0" distL="114300" distR="114300" simplePos="0" relativeHeight="251661312" behindDoc="0" locked="0" layoutInCell="1" allowOverlap="1" wp14:anchorId="399649F8" wp14:editId="55A070A8">
            <wp:simplePos x="0" y="0"/>
            <wp:positionH relativeFrom="column">
              <wp:posOffset>4610100</wp:posOffset>
            </wp:positionH>
            <wp:positionV relativeFrom="paragraph">
              <wp:posOffset>160020</wp:posOffset>
            </wp:positionV>
            <wp:extent cx="2057400" cy="1543050"/>
            <wp:effectExtent l="0" t="0" r="0" b="0"/>
            <wp:wrapSquare wrapText="bothSides"/>
            <wp:docPr id="4" name="Picture 4"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Pr="00EC17CF">
        <w:rPr>
          <w:b/>
          <w:i/>
          <w:u w:val="single"/>
        </w:rPr>
        <w:t>Description of the Forest:</w:t>
      </w:r>
    </w:p>
    <w:p w:rsidR="00527728" w:rsidRPr="00EC17CF" w:rsidRDefault="00527728" w:rsidP="00527728"/>
    <w:p w:rsidR="00527728" w:rsidRPr="00EC17CF" w:rsidRDefault="00527728" w:rsidP="00527728">
      <w:r w:rsidRPr="00EC17CF">
        <w:t xml:space="preserve">The Shawnee National Forest includes about 280,000 acres of National Forest System land and is the single largest publicly owned body of land in the State of Illinois.  Within those lands, one can find the following: </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 xml:space="preserve">Seven Congressionally-designated </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 xml:space="preserve">Wilderness Areas (about 10% of the Forest)           </w:t>
      </w:r>
      <w:r w:rsidRPr="00EC17CF">
        <w:rPr>
          <w:noProof/>
        </w:rPr>
        <w:t xml:space="preserve">                </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Six candidate Wild and Scenic Rivers</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Four National Natural Landmarks</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Four heritage resource sites on the National Register of Historic Places</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 xml:space="preserve">Two National Scenic Byways (NSB) </w:t>
      </w:r>
    </w:p>
    <w:p w:rsidR="00527728" w:rsidRPr="00EC17CF" w:rsidRDefault="00527728" w:rsidP="00527728">
      <w:pPr>
        <w:numPr>
          <w:ilvl w:val="1"/>
          <w:numId w:val="3"/>
        </w:numPr>
        <w:contextualSpacing/>
        <w:rPr>
          <w:rFonts w:eastAsiaTheme="minorEastAsia"/>
        </w:rPr>
      </w:pPr>
      <w:r w:rsidRPr="00EC17CF">
        <w:rPr>
          <w:rFonts w:eastAsiaTheme="minorEastAsia"/>
        </w:rPr>
        <w:t xml:space="preserve">Great River Road NSB, extending along the Mississippi River </w:t>
      </w:r>
    </w:p>
    <w:p w:rsidR="00527728" w:rsidRPr="00EC17CF" w:rsidRDefault="00527728" w:rsidP="00527728">
      <w:pPr>
        <w:numPr>
          <w:ilvl w:val="1"/>
          <w:numId w:val="3"/>
        </w:numPr>
        <w:contextualSpacing/>
        <w:rPr>
          <w:rFonts w:eastAsiaTheme="minorEastAsia"/>
        </w:rPr>
      </w:pPr>
      <w:r w:rsidRPr="00EC17CF">
        <w:rPr>
          <w:rFonts w:eastAsiaTheme="minorEastAsia"/>
        </w:rPr>
        <w:t>Ohio River NSB, along the Ohio, where it begins in Pennsylvania, traveling to Cairo, Illinois, where the Ohio meets the mighty Mississippi</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t>56 ecological areas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t>14 botanical areas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lastRenderedPageBreak/>
        <w:t>3 geological areas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t>14 zoological areas</w:t>
      </w:r>
    </w:p>
    <w:p w:rsidR="00527728" w:rsidRPr="00EC17CF" w:rsidRDefault="00527728" w:rsidP="00527728">
      <w:r w:rsidRPr="00EC17CF">
        <w:br/>
        <w:t xml:space="preserve">The Forest sits at the confluence of the Mississippi and Ohio Rivers and is rich in history, reflecting the pioneer movement of Americans into the west.  Although predominantly oak-hickory, pine was planted in many areas in the past.  Swamps contain tupelo and cypress communities.  Razorback ridges associated with the Ozark upthrust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527728" w:rsidRPr="00EC17CF" w:rsidRDefault="00527728" w:rsidP="00527728"/>
    <w:p w:rsidR="00527728" w:rsidRPr="00EC17CF" w:rsidRDefault="00527728" w:rsidP="00527728">
      <w:r w:rsidRPr="00EC17CF">
        <w:rPr>
          <w:rFonts w:eastAsia="Calibri"/>
        </w:rPr>
        <w:t xml:space="preserve">The Shawnee is located within a day's drive (350 miles) of more than 45 million people, or 17% of the U.S. population (U.S. Census Bureau, 7-1-97 estimate).  </w:t>
      </w:r>
      <w:r w:rsidRPr="00EC17CF">
        <w:t xml:space="preserve">Additional information about the Forest may be found at the </w:t>
      </w:r>
      <w:hyperlink r:id="rId13" w:history="1">
        <w:r w:rsidRPr="00EC17CF">
          <w:rPr>
            <w:color w:val="0000FF"/>
            <w:u w:val="single"/>
          </w:rPr>
          <w:t>Shawnee National Forest</w:t>
        </w:r>
      </w:hyperlink>
      <w:r w:rsidRPr="00EC17CF">
        <w:rPr>
          <w:color w:val="0000FF"/>
        </w:rPr>
        <w:t xml:space="preserve"> </w:t>
      </w:r>
      <w:r w:rsidRPr="00EC17CF">
        <w:t>website.</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i/>
          <w:color w:val="000000"/>
          <w:u w:val="single"/>
        </w:rPr>
      </w:pPr>
      <w:r w:rsidRPr="00EC17CF">
        <w:rPr>
          <w:b/>
          <w:i/>
          <w:color w:val="000000"/>
          <w:u w:val="single"/>
        </w:rPr>
        <w:br/>
        <w:t>Climate:</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noProof/>
          <w:color w:val="000000"/>
        </w:rPr>
        <w:drawing>
          <wp:anchor distT="0" distB="0" distL="114300" distR="114300" simplePos="0" relativeHeight="251660288" behindDoc="0" locked="0" layoutInCell="1" allowOverlap="1" wp14:anchorId="26ACE904" wp14:editId="52740290">
            <wp:simplePos x="0" y="0"/>
            <wp:positionH relativeFrom="column">
              <wp:posOffset>5328285</wp:posOffset>
            </wp:positionH>
            <wp:positionV relativeFrom="paragraph">
              <wp:posOffset>73660</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One can experience all four seasons in the southern Illinois region with an average of 3” of snow per year and temperatures rarely below 0 degrees.  Summer days are sunny and humid with highs in the 80’s – 90’s, occasionally topping 100.  Spring weather can occur in March,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527728" w:rsidRPr="00EC17CF" w:rsidRDefault="00527728" w:rsidP="00527728"/>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Education:</w:t>
      </w:r>
      <w:r w:rsidRPr="00EC17CF">
        <w:rPr>
          <w:b/>
          <w:bCs/>
          <w:i/>
          <w:color w:val="000000"/>
          <w:u w:val="single"/>
        </w:rPr>
        <w:br/>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Pre-schools through high schools can be found in most communities and rank high in the state.  There are several community colleges in the area offering quite reasonable in-district tuition.  Southern Illinois University, located in Carbondale, IL, offers a full range of baccalaureate through doctoral programs.  Day care facilities also are available in most communities.</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Churches:</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Churches representing all major denominations can be found in communities across the region.</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Economy:</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 xml:space="preserve">Real estate in the area is moderately priced.  The median price for purchasing a home is approximately $120,000, and house rentals begin at approximately $450 per month.  Utilities are also priced moderately.  Tourism is a developing economic force in the area.  In recent years, several wineries have opened, offering two outstanding wine trails.  Local breweries are also starting to emerge, adding to the tourism opportunities in the region.  </w:t>
      </w:r>
      <w:r w:rsidRPr="00EC17CF">
        <w:rPr>
          <w:color w:val="000000"/>
        </w:rPr>
        <w:br/>
      </w:r>
      <w:r w:rsidRPr="00EC17CF">
        <w:rPr>
          <w:color w:val="000000"/>
        </w:rPr>
        <w:br/>
        <w:t>With a mix of communities and towns, varying in population, Southern Illinois offers a rural environment with easy access to all possible amenities.  Both shopping and entertainment opportunities are abundant within the area.  Marion</w:t>
      </w:r>
      <w:r>
        <w:rPr>
          <w:color w:val="000000"/>
        </w:rPr>
        <w:t>, IL</w:t>
      </w:r>
      <w:r w:rsidRPr="00EC17CF">
        <w:rPr>
          <w:color w:val="000000"/>
        </w:rPr>
        <w:t xml:space="preserve"> and Carbondale, IL</w:t>
      </w:r>
      <w:r>
        <w:rPr>
          <w:color w:val="000000"/>
        </w:rPr>
        <w:t>,</w:t>
      </w:r>
      <w:r w:rsidRPr="00EC17CF">
        <w:rPr>
          <w:color w:val="000000"/>
        </w:rPr>
        <w:t xml:space="preserve"> along with Paducah, KY, offer shopping malls, movie </w:t>
      </w:r>
      <w:r w:rsidRPr="00EC17CF">
        <w:rPr>
          <w:color w:val="000000"/>
        </w:rPr>
        <w:lastRenderedPageBreak/>
        <w:t>theaters and several locally owned and operated restaurants along with major chain and fast-food restaurants.  Additional information on local employment opportunities can be found at the following links:</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p>
    <w:p w:rsidR="00527728" w:rsidRPr="00EC17CF" w:rsidRDefault="00102079"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Cs/>
          <w:color w:val="0000FF"/>
          <w:u w:val="single"/>
        </w:rPr>
      </w:pPr>
      <w:hyperlink r:id="rId15" w:history="1">
        <w:r w:rsidR="00527728" w:rsidRPr="00EC17CF">
          <w:rPr>
            <w:bCs/>
            <w:color w:val="0000FF"/>
            <w:u w:val="single"/>
          </w:rPr>
          <w:t>Harrisburg, IL – Companies and Businesses</w:t>
        </w:r>
      </w:hyperlink>
      <w:r w:rsidR="00527728" w:rsidRPr="00EC17CF">
        <w:rPr>
          <w:bCs/>
          <w:color w:val="0000FF"/>
          <w:u w:val="single"/>
        </w:rPr>
        <w:br/>
      </w:r>
      <w:r w:rsidR="00527728" w:rsidRPr="00EC17CF">
        <w:rPr>
          <w:bCs/>
          <w:color w:val="0000FF"/>
          <w:u w:val="single"/>
        </w:rPr>
        <w:br/>
      </w:r>
      <w:hyperlink r:id="rId16" w:history="1">
        <w:r w:rsidR="00527728" w:rsidRPr="00EC17CF">
          <w:rPr>
            <w:rStyle w:val="Hyperlink"/>
            <w:bCs/>
          </w:rPr>
          <w:t>Marion, IL – Companies and Businesses</w:t>
        </w:r>
      </w:hyperlink>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r w:rsidRPr="00EC17CF">
        <w:rPr>
          <w:b/>
          <w:bCs/>
          <w:color w:val="000000"/>
          <w:u w:val="single"/>
        </w:rPr>
        <w:br/>
      </w:r>
      <w:hyperlink r:id="rId17" w:history="1">
        <w:r w:rsidRPr="00EC17CF">
          <w:rPr>
            <w:rStyle w:val="Hyperlink"/>
            <w:bCs/>
          </w:rPr>
          <w:t>Carbondale, IL – Companies and Business</w:t>
        </w:r>
      </w:hyperlink>
      <w:r w:rsidRPr="00EC17CF">
        <w:rPr>
          <w:bCs/>
          <w:color w:val="000000"/>
        </w:rPr>
        <w:br/>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Healthcare:</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 xml:space="preserve">Healthcare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t>
      </w:r>
      <w:r w:rsidR="00E50623">
        <w:rPr>
          <w:color w:val="000000"/>
        </w:rPr>
        <w:t>Baptist Health</w:t>
      </w:r>
      <w:r w:rsidRPr="00EC17CF">
        <w:rPr>
          <w:color w:val="000000"/>
        </w:rPr>
        <w:t xml:space="preserve"> Hospital in Paducah, KY and Deaconess in Evansville, IN.  All the hospitals provide 24-hour emergency room physician coverage and specialists.</w:t>
      </w:r>
    </w:p>
    <w:p w:rsidR="00527728"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Recreational and Cultural Activities:</w:t>
      </w:r>
    </w:p>
    <w:p w:rsidR="00527728" w:rsidRPr="00EC17CF" w:rsidRDefault="00527728" w:rsidP="00527728"/>
    <w:p w:rsidR="00527728" w:rsidRPr="00EC17CF" w:rsidRDefault="00527728" w:rsidP="00527728">
      <w:pPr>
        <w:autoSpaceDE w:val="0"/>
        <w:autoSpaceDN w:val="0"/>
        <w:adjustRightInd w:val="0"/>
        <w:rPr>
          <w:color w:val="000000"/>
        </w:rPr>
      </w:pPr>
      <w:r w:rsidRPr="00EC17CF">
        <w:rPr>
          <w:color w:val="000000"/>
        </w:rPr>
        <w:t xml:space="preserve">Whether you’re a barbecue fan, blues lover, outdoor recreational enthusiast, lover of small town life or big city adventurer, southern Illinois truly provides something for everyone in terms of social engagement opportunities and overall choice of recreational/cultural type activities.  </w:t>
      </w:r>
      <w:r w:rsidRPr="00EC17CF">
        <w:rPr>
          <w:color w:val="000000"/>
        </w:rPr>
        <w:br/>
      </w:r>
      <w:r w:rsidRPr="00EC17CF">
        <w:rPr>
          <w:color w:val="000000"/>
        </w:rPr>
        <w:br/>
      </w:r>
      <w:r w:rsidRPr="00EC17CF">
        <w:rPr>
          <w:noProof/>
          <w:color w:val="000000"/>
        </w:rPr>
        <w:drawing>
          <wp:anchor distT="0" distB="0" distL="114300" distR="114300" simplePos="0" relativeHeight="251659264" behindDoc="0" locked="0" layoutInCell="1" allowOverlap="1" wp14:anchorId="7432ECB7" wp14:editId="60B01CC4">
            <wp:simplePos x="0" y="0"/>
            <wp:positionH relativeFrom="column">
              <wp:posOffset>4292600</wp:posOffset>
            </wp:positionH>
            <wp:positionV relativeFrom="paragraph">
              <wp:posOffset>38100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Pr="00EC17CF">
        <w:rPr>
          <w:color w:val="000000"/>
        </w:rPr>
        <w:t>With the perfect mix of small to mid-sized towns across the region coupled with easy access to bigger cities, including St. Louis, MO (located about 2 hours from Harrisburg, IL), Nashville, TN (located about 2.5 hours from Harrisburg, IL) and Chicago, IL (located about 6 hours from Harrisburg, IL), residents will find the ability to immerse themselves in the rich cultural and natural heritage encompassed in the area while also being able to easily travel and explore larger metropolitan areas nearby.</w:t>
      </w:r>
      <w:r w:rsidRPr="00EC17CF">
        <w:rPr>
          <w:color w:val="000000"/>
        </w:rPr>
        <w:br/>
      </w:r>
      <w:r w:rsidRPr="00EC17CF">
        <w:rPr>
          <w:color w:val="000000"/>
        </w:rPr>
        <w:br/>
        <w:t>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etc, can also be discovered at a variety of events and locations, offering easy access to diverse recreational and cultural activities while also offering a beautiful, predominantly agricultural based area to call home.</w:t>
      </w:r>
      <w:r w:rsidRPr="00EC17CF">
        <w:rPr>
          <w:color w:val="000000"/>
        </w:rPr>
        <w:br/>
      </w:r>
      <w:r w:rsidRPr="00EC17CF">
        <w:rPr>
          <w:color w:val="000000"/>
        </w:rPr>
        <w:br/>
        <w:t xml:space="preserve"> To learn more about the area, please visit the following:</w:t>
      </w:r>
      <w:r w:rsidRPr="00EC17CF">
        <w:rPr>
          <w:color w:val="000000"/>
        </w:rPr>
        <w:br/>
      </w:r>
      <w:r w:rsidRPr="00EC17CF">
        <w:rPr>
          <w:color w:val="000000"/>
        </w:rPr>
        <w:br/>
      </w:r>
      <w:hyperlink r:id="rId19" w:history="1">
        <w:r w:rsidRPr="00EC17CF">
          <w:rPr>
            <w:rStyle w:val="Hyperlink"/>
          </w:rPr>
          <w:t>Marion, IL Chamber of Commerce</w:t>
        </w:r>
      </w:hyperlink>
      <w:r w:rsidRPr="00EC17CF">
        <w:br/>
      </w:r>
      <w:r w:rsidRPr="00EC17CF">
        <w:br/>
      </w:r>
      <w:hyperlink r:id="rId20" w:history="1">
        <w:r w:rsidRPr="00EC17CF">
          <w:rPr>
            <w:rStyle w:val="Hyperlink"/>
          </w:rPr>
          <w:t>Saline County, IL Chamber of Commerce</w:t>
        </w:r>
      </w:hyperlink>
      <w:r w:rsidRPr="00EC17CF">
        <w:t xml:space="preserve"> </w:t>
      </w:r>
      <w:r w:rsidRPr="00EC17CF">
        <w:br/>
      </w:r>
      <w:r w:rsidRPr="00EC17CF">
        <w:br/>
      </w:r>
      <w:hyperlink r:id="rId21" w:history="1">
        <w:r w:rsidRPr="00EC17CF">
          <w:rPr>
            <w:rStyle w:val="Hyperlink"/>
          </w:rPr>
          <w:t>Saline County, IL Tourism</w:t>
        </w:r>
      </w:hyperlink>
      <w:r w:rsidRPr="00EC17CF">
        <w:t xml:space="preserve"> </w:t>
      </w:r>
      <w:r w:rsidRPr="00EC17CF">
        <w:br/>
      </w:r>
      <w:r w:rsidRPr="00EC17CF">
        <w:br/>
      </w:r>
      <w:hyperlink r:id="rId22" w:history="1">
        <w:r w:rsidRPr="00EC17CF">
          <w:rPr>
            <w:rStyle w:val="Hyperlink"/>
          </w:rPr>
          <w:t>Southernmost Illinois Tourism Bureau</w:t>
        </w:r>
      </w:hyperlink>
      <w:r w:rsidRPr="00EC17CF">
        <w:br/>
      </w:r>
      <w:r w:rsidRPr="00EC17CF">
        <w:lastRenderedPageBreak/>
        <w:br/>
      </w:r>
      <w:hyperlink r:id="rId23" w:history="1">
        <w:r w:rsidRPr="00EC17CF">
          <w:rPr>
            <w:rStyle w:val="Hyperlink"/>
          </w:rPr>
          <w:t>Williamson County, IL Tourism Bureau</w:t>
        </w:r>
      </w:hyperlink>
      <w:r w:rsidRPr="00EC17CF">
        <w:t xml:space="preserve">    </w:t>
      </w:r>
    </w:p>
    <w:p w:rsidR="00527728" w:rsidRDefault="00527728" w:rsidP="00527728">
      <w:pPr>
        <w:pBdr>
          <w:bottom w:val="single" w:sz="12" w:space="1" w:color="auto"/>
        </w:pBdr>
        <w:rPr>
          <w:sz w:val="16"/>
          <w:szCs w:val="16"/>
        </w:rPr>
      </w:pPr>
    </w:p>
    <w:p w:rsidR="00102079" w:rsidRPr="005229B5" w:rsidRDefault="00527728" w:rsidP="00102079">
      <w:pPr>
        <w:rPr>
          <w:b/>
          <w:color w:val="000000"/>
        </w:rPr>
      </w:pPr>
      <w:r>
        <w:rPr>
          <w:rFonts w:ascii="Verdana" w:hAnsi="Verdana" w:cs="Calibri"/>
          <w:b/>
          <w:color w:val="000000"/>
        </w:rPr>
        <w:br/>
      </w:r>
      <w:r w:rsidR="00102079" w:rsidRPr="005229B5">
        <w:rPr>
          <w:b/>
          <w:color w:val="000000"/>
        </w:rPr>
        <w:t>Non-Discrimination Statement</w:t>
      </w:r>
      <w:r w:rsidR="00102079" w:rsidRPr="005229B5">
        <w:rPr>
          <w:b/>
          <w:color w:val="000000"/>
        </w:rPr>
        <w:br/>
      </w:r>
    </w:p>
    <w:p w:rsidR="00102079" w:rsidRPr="005229B5" w:rsidRDefault="00102079" w:rsidP="00102079">
      <w:pPr>
        <w:rPr>
          <w:b/>
          <w:color w:val="000000"/>
        </w:rPr>
      </w:pPr>
      <w:r w:rsidRPr="005229B5">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527728" w:rsidRDefault="00527728" w:rsidP="00102079">
      <w:pPr>
        <w:rPr>
          <w:i/>
          <w:szCs w:val="36"/>
        </w:rPr>
      </w:pPr>
    </w:p>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Pr="00527728" w:rsidRDefault="00527728" w:rsidP="00527728"/>
    <w:p w:rsidR="00527728" w:rsidRDefault="00527728" w:rsidP="001136BB">
      <w:pPr>
        <w:pStyle w:val="Heading1"/>
        <w:rPr>
          <w:i/>
          <w:szCs w:val="36"/>
        </w:rPr>
      </w:pPr>
    </w:p>
    <w:p w:rsidR="00D722A1" w:rsidRDefault="00D722A1" w:rsidP="00D722A1"/>
    <w:p w:rsidR="00D722A1" w:rsidRDefault="00D722A1" w:rsidP="00D722A1"/>
    <w:p w:rsidR="00D722A1" w:rsidRDefault="00D722A1" w:rsidP="00D722A1"/>
    <w:p w:rsidR="00D722A1" w:rsidRDefault="00D722A1" w:rsidP="00D722A1"/>
    <w:p w:rsidR="00D722A1" w:rsidRPr="00D722A1" w:rsidRDefault="00D722A1" w:rsidP="00D722A1"/>
    <w:p w:rsidR="008735D6" w:rsidRDefault="008735D6" w:rsidP="008735D6"/>
    <w:p w:rsidR="008735D6" w:rsidRDefault="008735D6" w:rsidP="008735D6"/>
    <w:p w:rsidR="008735D6" w:rsidRPr="008735D6" w:rsidRDefault="008735D6" w:rsidP="008735D6"/>
    <w:p w:rsidR="00102079" w:rsidRDefault="00102079">
      <w:pPr>
        <w:spacing w:after="200" w:line="276" w:lineRule="auto"/>
        <w:rPr>
          <w:b/>
          <w:bCs/>
          <w:i/>
          <w:sz w:val="36"/>
          <w:szCs w:val="36"/>
        </w:rPr>
      </w:pPr>
      <w:r>
        <w:rPr>
          <w:i/>
          <w:szCs w:val="36"/>
        </w:rPr>
        <w:br w:type="page"/>
      </w:r>
    </w:p>
    <w:p w:rsidR="001136BB" w:rsidRPr="00A939D3" w:rsidRDefault="001136BB" w:rsidP="001136BB">
      <w:pPr>
        <w:pStyle w:val="Heading1"/>
        <w:rPr>
          <w:i/>
          <w:szCs w:val="36"/>
        </w:rPr>
      </w:pPr>
      <w:r w:rsidRPr="00A939D3">
        <w:rPr>
          <w:i/>
          <w:szCs w:val="36"/>
        </w:rPr>
        <w:lastRenderedPageBreak/>
        <w:t>OUTREACH RESPONSE FORM</w:t>
      </w:r>
    </w:p>
    <w:p w:rsidR="00D722A1" w:rsidRPr="003E5F7B" w:rsidRDefault="00D722A1" w:rsidP="00D722A1">
      <w:r w:rsidRPr="003E5F7B">
        <w:t>If you are interested in these positions, be sure to respond to this outreach</w:t>
      </w:r>
      <w:r>
        <w:t xml:space="preserve"> by</w:t>
      </w:r>
      <w:r w:rsidRPr="003E5F7B">
        <w:t xml:space="preserve"> </w:t>
      </w:r>
      <w:r>
        <w:rPr>
          <w:b/>
          <w:highlight w:val="yellow"/>
          <w:u w:val="single"/>
        </w:rPr>
        <w:t>November 17</w:t>
      </w:r>
      <w:r w:rsidRPr="00A939D3">
        <w:rPr>
          <w:b/>
          <w:highlight w:val="yellow"/>
          <w:u w:val="single"/>
        </w:rPr>
        <w:t>, 2014</w:t>
      </w:r>
      <w:r>
        <w:rPr>
          <w:b/>
          <w:u w:val="single"/>
        </w:rPr>
        <w:t xml:space="preserve"> </w:t>
      </w:r>
      <w:r w:rsidRPr="003E5F7B">
        <w:t>in one of three ways:</w:t>
      </w:r>
    </w:p>
    <w:p w:rsidR="001136BB" w:rsidRDefault="001136BB" w:rsidP="001136BB"/>
    <w:p w:rsidR="001136BB" w:rsidRDefault="001136BB" w:rsidP="00DB24E5">
      <w:r>
        <w:t>E</w:t>
      </w:r>
      <w:r w:rsidRPr="007300CB">
        <w:t>-ma</w:t>
      </w:r>
      <w:r>
        <w:t>il:</w:t>
      </w:r>
      <w:r w:rsidR="00A939D3">
        <w:tab/>
      </w:r>
      <w:r w:rsidR="00A939D3">
        <w:tab/>
      </w:r>
      <w:hyperlink r:id="rId24" w:history="1">
        <w:r w:rsidR="00DB24E5" w:rsidRPr="000D7DE0">
          <w:rPr>
            <w:rStyle w:val="Hyperlink"/>
          </w:rPr>
          <w:t>akunzmann@fs.fed.us</w:t>
        </w:r>
      </w:hyperlink>
      <w:r w:rsidRPr="007300CB">
        <w:t xml:space="preserve">  </w:t>
      </w:r>
      <w:r>
        <w:tab/>
      </w:r>
      <w:r w:rsidR="00A939D3">
        <w:tab/>
        <w:t>Fax:</w:t>
      </w:r>
      <w:r w:rsidR="00A939D3">
        <w:tab/>
      </w:r>
      <w:r>
        <w:t xml:space="preserve">(618) </w:t>
      </w:r>
      <w:r w:rsidR="00DB24E5">
        <w:t>658-1300</w:t>
      </w:r>
    </w:p>
    <w:p w:rsidR="001136BB" w:rsidRDefault="00A939D3" w:rsidP="001136BB">
      <w:r>
        <w:t>Mail:</w:t>
      </w:r>
      <w:r>
        <w:tab/>
      </w:r>
      <w:r>
        <w:tab/>
      </w:r>
      <w:r w:rsidR="00DB24E5">
        <w:t>Amanda Kunzmann</w:t>
      </w:r>
    </w:p>
    <w:p w:rsidR="001136BB" w:rsidRDefault="001136BB" w:rsidP="001136BB">
      <w:r>
        <w:tab/>
      </w:r>
      <w:r w:rsidR="00A939D3">
        <w:tab/>
      </w:r>
      <w:r>
        <w:t>Shawnee National Forest</w:t>
      </w:r>
    </w:p>
    <w:p w:rsidR="001136BB" w:rsidRDefault="001136BB" w:rsidP="001136BB">
      <w:r>
        <w:tab/>
      </w:r>
      <w:r w:rsidR="00A939D3">
        <w:tab/>
      </w:r>
      <w:r w:rsidR="00DB24E5">
        <w:t>602 North First Street</w:t>
      </w:r>
    </w:p>
    <w:p w:rsidR="001136BB" w:rsidRDefault="001136BB" w:rsidP="001136BB">
      <w:r>
        <w:tab/>
      </w:r>
      <w:r w:rsidR="00A939D3">
        <w:tab/>
      </w:r>
      <w:r w:rsidR="00DB24E5">
        <w:t>Vienna, IL  62995</w:t>
      </w:r>
      <w:r>
        <w:t xml:space="preserve"> </w:t>
      </w:r>
    </w:p>
    <w:p w:rsidR="00EB5845" w:rsidRDefault="00EB5845" w:rsidP="001136BB">
      <w:pPr>
        <w:rPr>
          <w:b/>
          <w:bCs/>
          <w:i/>
          <w:iCs/>
        </w:rPr>
      </w:pPr>
    </w:p>
    <w:p w:rsidR="001136BB" w:rsidRDefault="00EB5845" w:rsidP="001136BB">
      <w:r>
        <w:rPr>
          <w:b/>
          <w:bCs/>
          <w:i/>
          <w:iCs/>
        </w:rPr>
        <w:t>Respondents will be notified via email when the vacancy announcement becomes available.</w:t>
      </w:r>
    </w:p>
    <w:p w:rsidR="00EB5845" w:rsidRDefault="00EB5845" w:rsidP="001136BB"/>
    <w:p w:rsidR="001136BB" w:rsidRPr="007300CB" w:rsidRDefault="001136BB" w:rsidP="001136BB">
      <w:r>
        <w:t xml:space="preserve">For additional details on the position, you may call </w:t>
      </w:r>
      <w:r w:rsidR="00916834">
        <w:t>Daryl Kirtley, Support Services Supervisor</w:t>
      </w:r>
      <w:r w:rsidR="00A939D3">
        <w:t>,</w:t>
      </w:r>
      <w:r>
        <w:t xml:space="preserve"> at (618) </w:t>
      </w:r>
      <w:r w:rsidR="00916834">
        <w:t>658-1307</w:t>
      </w:r>
      <w:r>
        <w:t>.</w:t>
      </w:r>
    </w:p>
    <w:p w:rsidR="001136BB" w:rsidRPr="007300CB" w:rsidRDefault="001136BB" w:rsidP="001136BB">
      <w:r w:rsidRPr="007300CB">
        <w:t xml:space="preserve"> </w:t>
      </w:r>
    </w:p>
    <w:p w:rsidR="001136BB" w:rsidRPr="007300CB" w:rsidRDefault="001136BB" w:rsidP="001136BB">
      <w:r>
        <w:t xml:space="preserve">By completing this form, you are indicating that you are </w:t>
      </w:r>
      <w:r w:rsidRPr="007300CB">
        <w:t>interested in the following position:</w:t>
      </w:r>
    </w:p>
    <w:p w:rsidR="001136BB" w:rsidRPr="00527728" w:rsidRDefault="0002107E" w:rsidP="00527728">
      <w:pPr>
        <w:numPr>
          <w:ilvl w:val="0"/>
          <w:numId w:val="1"/>
        </w:numPr>
      </w:pPr>
      <w:r>
        <w:rPr>
          <w:b/>
        </w:rPr>
        <w:t>Customer Service Representative, GS-0303</w:t>
      </w:r>
      <w:r w:rsidR="001136BB">
        <w:rPr>
          <w:b/>
        </w:rPr>
        <w:t>-</w:t>
      </w:r>
      <w:r>
        <w:rPr>
          <w:b/>
        </w:rPr>
        <w:t>5</w:t>
      </w:r>
      <w:r w:rsidR="001136BB" w:rsidRPr="001342C0">
        <w:rPr>
          <w:b/>
        </w:rPr>
        <w:t xml:space="preserve"> Permanent </w:t>
      </w:r>
      <w:r w:rsidR="001136BB">
        <w:rPr>
          <w:b/>
        </w:rPr>
        <w:t>Full-Time</w:t>
      </w:r>
      <w:r w:rsidR="001136BB" w:rsidRPr="001342C0">
        <w:rPr>
          <w:b/>
        </w:rPr>
        <w:t xml:space="preserve"> positio</w:t>
      </w:r>
      <w:r w:rsidR="001136BB">
        <w:rPr>
          <w:b/>
        </w:rPr>
        <w:t>n</w:t>
      </w:r>
      <w:bookmarkStart w:id="1" w:name="_GoBack"/>
      <w:bookmarkEnd w:id="1"/>
    </w:p>
    <w:p w:rsidR="001136BB" w:rsidRDefault="00102079" w:rsidP="001136BB">
      <w:r>
        <w:br/>
      </w:r>
      <w:r w:rsidR="001136BB" w:rsidRPr="007300CB">
        <w:t xml:space="preserve">Location: </w:t>
      </w:r>
      <w:r w:rsidR="001502C5">
        <w:t>(check preferred location/s)</w:t>
      </w:r>
    </w:p>
    <w:p w:rsidR="001136BB" w:rsidRPr="001342C0" w:rsidRDefault="001136BB" w:rsidP="001136BB">
      <w:pPr>
        <w:numPr>
          <w:ilvl w:val="0"/>
          <w:numId w:val="1"/>
        </w:numPr>
      </w:pPr>
      <w:r w:rsidRPr="001342C0">
        <w:rPr>
          <w:b/>
          <w:bCs/>
        </w:rPr>
        <w:t xml:space="preserve">Region </w:t>
      </w:r>
      <w:r>
        <w:rPr>
          <w:b/>
          <w:bCs/>
        </w:rPr>
        <w:t>9</w:t>
      </w:r>
      <w:r w:rsidRPr="001342C0">
        <w:rPr>
          <w:b/>
          <w:bCs/>
        </w:rPr>
        <w:t xml:space="preserve">, </w:t>
      </w:r>
      <w:r>
        <w:rPr>
          <w:b/>
          <w:bCs/>
        </w:rPr>
        <w:t>Shawnee</w:t>
      </w:r>
      <w:r w:rsidRPr="001342C0">
        <w:rPr>
          <w:b/>
          <w:bCs/>
        </w:rPr>
        <w:t xml:space="preserve"> National Forest, </w:t>
      </w:r>
      <w:r w:rsidR="008C779B">
        <w:rPr>
          <w:b/>
          <w:bCs/>
        </w:rPr>
        <w:t>_____</w:t>
      </w:r>
      <w:r w:rsidR="00030619">
        <w:rPr>
          <w:b/>
          <w:bCs/>
        </w:rPr>
        <w:t>Vienna</w:t>
      </w:r>
      <w:r w:rsidR="008C779B">
        <w:rPr>
          <w:b/>
          <w:bCs/>
        </w:rPr>
        <w:t xml:space="preserve"> or _____Jonesboro</w:t>
      </w:r>
      <w:r>
        <w:rPr>
          <w:b/>
          <w:bCs/>
        </w:rPr>
        <w:t>, Illinois</w:t>
      </w:r>
    </w:p>
    <w:p w:rsidR="001136BB" w:rsidRPr="007300CB" w:rsidRDefault="001136BB" w:rsidP="001136BB">
      <w:r w:rsidRPr="007300CB">
        <w:t xml:space="preserve"> </w:t>
      </w:r>
    </w:p>
    <w:p w:rsidR="00102079" w:rsidRPr="003E5F7B" w:rsidRDefault="00102079" w:rsidP="00102079">
      <w:r w:rsidRPr="003E5F7B">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102079" w:rsidRPr="003E5F7B" w:rsidTr="00F80E85">
        <w:trPr>
          <w:jc w:val="center"/>
        </w:trPr>
        <w:tc>
          <w:tcPr>
            <w:tcW w:w="2167" w:type="dxa"/>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Name</w:t>
            </w:r>
          </w:p>
        </w:tc>
        <w:tc>
          <w:tcPr>
            <w:tcW w:w="2253" w:type="dxa"/>
          </w:tcPr>
          <w:p w:rsidR="00102079" w:rsidRPr="003E5F7B" w:rsidRDefault="00102079" w:rsidP="00F80E85">
            <w:pPr>
              <w:rPr>
                <w:rFonts w:ascii="Bookman Old Style" w:hAnsi="Bookman Old Style"/>
              </w:rPr>
            </w:pPr>
          </w:p>
        </w:tc>
        <w:tc>
          <w:tcPr>
            <w:tcW w:w="1913" w:type="dxa"/>
            <w:gridSpan w:val="3"/>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Date</w:t>
            </w:r>
          </w:p>
        </w:tc>
        <w:tc>
          <w:tcPr>
            <w:tcW w:w="3855" w:type="dxa"/>
            <w:gridSpan w:val="3"/>
          </w:tcPr>
          <w:p w:rsidR="00102079" w:rsidRPr="003E5F7B" w:rsidRDefault="00102079" w:rsidP="00F80E85">
            <w:pPr>
              <w:rPr>
                <w:rFonts w:ascii="Bookman Old Style" w:hAnsi="Bookman Old Style"/>
              </w:rPr>
            </w:pPr>
          </w:p>
        </w:tc>
      </w:tr>
      <w:tr w:rsidR="00102079" w:rsidRPr="003E5F7B" w:rsidTr="00F80E85">
        <w:trPr>
          <w:jc w:val="center"/>
        </w:trPr>
        <w:tc>
          <w:tcPr>
            <w:tcW w:w="2167" w:type="dxa"/>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Address</w:t>
            </w:r>
          </w:p>
        </w:tc>
        <w:tc>
          <w:tcPr>
            <w:tcW w:w="8021" w:type="dxa"/>
            <w:gridSpan w:val="7"/>
          </w:tcPr>
          <w:p w:rsidR="00102079" w:rsidRPr="003E5F7B" w:rsidRDefault="00102079" w:rsidP="00F80E85">
            <w:pPr>
              <w:rPr>
                <w:rFonts w:ascii="Bookman Old Style" w:hAnsi="Bookman Old Style"/>
              </w:rPr>
            </w:pPr>
          </w:p>
        </w:tc>
      </w:tr>
      <w:tr w:rsidR="00102079" w:rsidRPr="003E5F7B" w:rsidTr="00F80E85">
        <w:trPr>
          <w:jc w:val="center"/>
        </w:trPr>
        <w:tc>
          <w:tcPr>
            <w:tcW w:w="2167" w:type="dxa"/>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City</w:t>
            </w:r>
          </w:p>
        </w:tc>
        <w:tc>
          <w:tcPr>
            <w:tcW w:w="2253" w:type="dxa"/>
          </w:tcPr>
          <w:p w:rsidR="00102079" w:rsidRPr="003E5F7B" w:rsidRDefault="00102079" w:rsidP="00F80E85">
            <w:pPr>
              <w:rPr>
                <w:rFonts w:ascii="Bookman Old Style" w:hAnsi="Bookman Old Style"/>
              </w:rPr>
            </w:pPr>
          </w:p>
        </w:tc>
        <w:tc>
          <w:tcPr>
            <w:tcW w:w="1913" w:type="dxa"/>
            <w:gridSpan w:val="3"/>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State</w:t>
            </w:r>
          </w:p>
        </w:tc>
        <w:tc>
          <w:tcPr>
            <w:tcW w:w="3855" w:type="dxa"/>
            <w:gridSpan w:val="3"/>
          </w:tcPr>
          <w:p w:rsidR="00102079" w:rsidRPr="003E5F7B" w:rsidRDefault="00102079" w:rsidP="00F80E85">
            <w:pPr>
              <w:rPr>
                <w:rFonts w:ascii="Bookman Old Style" w:hAnsi="Bookman Old Style"/>
              </w:rPr>
            </w:pPr>
          </w:p>
        </w:tc>
      </w:tr>
      <w:tr w:rsidR="00102079" w:rsidRPr="003E5F7B" w:rsidTr="00F80E85">
        <w:trPr>
          <w:jc w:val="center"/>
        </w:trPr>
        <w:tc>
          <w:tcPr>
            <w:tcW w:w="2167" w:type="dxa"/>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Zip</w:t>
            </w:r>
          </w:p>
        </w:tc>
        <w:tc>
          <w:tcPr>
            <w:tcW w:w="2253" w:type="dxa"/>
          </w:tcPr>
          <w:p w:rsidR="00102079" w:rsidRPr="003E5F7B" w:rsidRDefault="00102079" w:rsidP="00F80E85">
            <w:pPr>
              <w:rPr>
                <w:rFonts w:ascii="Bookman Old Style" w:hAnsi="Bookman Old Style"/>
              </w:rPr>
            </w:pPr>
          </w:p>
        </w:tc>
        <w:tc>
          <w:tcPr>
            <w:tcW w:w="1913" w:type="dxa"/>
            <w:gridSpan w:val="3"/>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E-Mail</w:t>
            </w:r>
          </w:p>
        </w:tc>
        <w:tc>
          <w:tcPr>
            <w:tcW w:w="3855" w:type="dxa"/>
            <w:gridSpan w:val="3"/>
          </w:tcPr>
          <w:p w:rsidR="00102079" w:rsidRPr="003E5F7B" w:rsidRDefault="00102079" w:rsidP="00F80E85">
            <w:pPr>
              <w:rPr>
                <w:rFonts w:ascii="Bookman Old Style" w:hAnsi="Bookman Old Style"/>
              </w:rPr>
            </w:pPr>
          </w:p>
        </w:tc>
      </w:tr>
      <w:tr w:rsidR="00102079" w:rsidRPr="003E5F7B" w:rsidTr="00F80E85">
        <w:trPr>
          <w:jc w:val="center"/>
        </w:trPr>
        <w:tc>
          <w:tcPr>
            <w:tcW w:w="2167" w:type="dxa"/>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Phone number(s)</w:t>
            </w:r>
          </w:p>
        </w:tc>
        <w:tc>
          <w:tcPr>
            <w:tcW w:w="8021" w:type="dxa"/>
            <w:gridSpan w:val="7"/>
          </w:tcPr>
          <w:p w:rsidR="00102079" w:rsidRPr="003E5F7B" w:rsidRDefault="00102079" w:rsidP="00F80E85">
            <w:pPr>
              <w:rPr>
                <w:rFonts w:ascii="Bookman Old Style" w:hAnsi="Bookman Old Style"/>
              </w:rPr>
            </w:pPr>
          </w:p>
        </w:tc>
      </w:tr>
      <w:tr w:rsidR="00102079" w:rsidRPr="003E5F7B" w:rsidTr="00F80E85">
        <w:trPr>
          <w:jc w:val="center"/>
        </w:trPr>
        <w:tc>
          <w:tcPr>
            <w:tcW w:w="4876" w:type="dxa"/>
            <w:gridSpan w:val="3"/>
          </w:tcPr>
          <w:p w:rsidR="00102079" w:rsidRPr="003E5F7B" w:rsidRDefault="00102079" w:rsidP="00F80E85">
            <w:pPr>
              <w:rPr>
                <w:rFonts w:ascii="Palatino Linotype" w:hAnsi="Palatino Linotype"/>
                <w:b/>
              </w:rPr>
            </w:pPr>
            <w:r w:rsidRPr="003E5F7B">
              <w:rPr>
                <w:rFonts w:ascii="Palatino Linotype" w:hAnsi="Palatino Linotype"/>
                <w:b/>
                <w:color w:val="808080"/>
              </w:rPr>
              <w:t>Are you currently a federal employee</w:t>
            </w:r>
          </w:p>
        </w:tc>
        <w:tc>
          <w:tcPr>
            <w:tcW w:w="5312" w:type="dxa"/>
            <w:gridSpan w:val="5"/>
          </w:tcPr>
          <w:p w:rsidR="00102079" w:rsidRPr="003E5F7B" w:rsidRDefault="00102079" w:rsidP="00F80E85">
            <w:pPr>
              <w:rPr>
                <w:rFonts w:ascii="Bookman Old Style" w:hAnsi="Bookman Old Style"/>
              </w:rPr>
            </w:pPr>
          </w:p>
        </w:tc>
      </w:tr>
      <w:tr w:rsidR="00102079" w:rsidRPr="003E5F7B" w:rsidTr="00F80E85">
        <w:trPr>
          <w:jc w:val="center"/>
        </w:trPr>
        <w:tc>
          <w:tcPr>
            <w:tcW w:w="4876" w:type="dxa"/>
            <w:gridSpan w:val="3"/>
          </w:tcPr>
          <w:p w:rsidR="00102079" w:rsidRPr="003E5F7B" w:rsidRDefault="00102079" w:rsidP="00F80E85">
            <w:pPr>
              <w:rPr>
                <w:rFonts w:ascii="Palatino Linotype" w:hAnsi="Palatino Linotype"/>
                <w:b/>
              </w:rPr>
            </w:pPr>
            <w:r w:rsidRPr="003E5F7B">
              <w:rPr>
                <w:rFonts w:ascii="Palatino Linotype" w:hAnsi="Palatino Linotype"/>
                <w:b/>
                <w:color w:val="808080"/>
              </w:rPr>
              <w:t>If Yes, current agency and location</w:t>
            </w:r>
          </w:p>
        </w:tc>
        <w:tc>
          <w:tcPr>
            <w:tcW w:w="5312" w:type="dxa"/>
            <w:gridSpan w:val="5"/>
          </w:tcPr>
          <w:p w:rsidR="00102079" w:rsidRPr="003E5F7B" w:rsidRDefault="00102079" w:rsidP="00F80E85">
            <w:pPr>
              <w:rPr>
                <w:rFonts w:ascii="Bookman Old Style" w:hAnsi="Bookman Old Style"/>
              </w:rPr>
            </w:pPr>
          </w:p>
        </w:tc>
      </w:tr>
      <w:tr w:rsidR="00102079" w:rsidRPr="003E5F7B" w:rsidTr="00F80E85">
        <w:trPr>
          <w:jc w:val="center"/>
        </w:trPr>
        <w:tc>
          <w:tcPr>
            <w:tcW w:w="4876" w:type="dxa"/>
            <w:gridSpan w:val="3"/>
          </w:tcPr>
          <w:p w:rsidR="00102079" w:rsidRPr="003E5F7B" w:rsidRDefault="00102079" w:rsidP="00F80E85">
            <w:pPr>
              <w:rPr>
                <w:rFonts w:ascii="Palatino Linotype" w:hAnsi="Palatino Linotype"/>
                <w:b/>
              </w:rPr>
            </w:pPr>
            <w:r w:rsidRPr="003E5F7B">
              <w:rPr>
                <w:rFonts w:ascii="Palatino Linotype" w:hAnsi="Palatino Linotype"/>
                <w:b/>
                <w:color w:val="808080"/>
              </w:rPr>
              <w:t xml:space="preserve">            current title/series/grade</w:t>
            </w:r>
          </w:p>
        </w:tc>
        <w:tc>
          <w:tcPr>
            <w:tcW w:w="5312" w:type="dxa"/>
            <w:gridSpan w:val="5"/>
          </w:tcPr>
          <w:p w:rsidR="00102079" w:rsidRPr="003E5F7B" w:rsidRDefault="00102079" w:rsidP="00F80E85">
            <w:pPr>
              <w:rPr>
                <w:rFonts w:ascii="Bookman Old Style" w:hAnsi="Bookman Old Style"/>
              </w:rPr>
            </w:pPr>
          </w:p>
        </w:tc>
      </w:tr>
      <w:tr w:rsidR="00102079" w:rsidRPr="003E5F7B" w:rsidTr="00F80E85">
        <w:trPr>
          <w:jc w:val="center"/>
        </w:trPr>
        <w:tc>
          <w:tcPr>
            <w:tcW w:w="4876" w:type="dxa"/>
            <w:gridSpan w:val="3"/>
          </w:tcPr>
          <w:p w:rsidR="00102079" w:rsidRDefault="00102079" w:rsidP="00F80E85">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 xml:space="preserve">Type of Appointment if Current </w:t>
            </w:r>
            <w:r>
              <w:rPr>
                <w:rFonts w:ascii="Palatino Linotype" w:hAnsi="Palatino Linotype"/>
                <w:b/>
                <w:color w:val="808080"/>
              </w:rPr>
              <w:t xml:space="preserve">    </w:t>
            </w:r>
          </w:p>
          <w:p w:rsidR="00102079" w:rsidRPr="003E5F7B" w:rsidRDefault="00102079" w:rsidP="00F80E85">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Government Employee</w:t>
            </w:r>
          </w:p>
        </w:tc>
        <w:tc>
          <w:tcPr>
            <w:tcW w:w="1648" w:type="dxa"/>
            <w:gridSpan w:val="3"/>
          </w:tcPr>
          <w:p w:rsidR="00102079" w:rsidRPr="003E5F7B" w:rsidRDefault="00102079" w:rsidP="00F80E85">
            <w:pPr>
              <w:jc w:val="center"/>
              <w:rPr>
                <w:rFonts w:ascii="Palatino Linotype" w:hAnsi="Palatino Linotype"/>
                <w:b/>
              </w:rPr>
            </w:pPr>
            <w:r w:rsidRPr="003E5F7B">
              <w:rPr>
                <w:rFonts w:ascii="Palatino Linotype" w:hAnsi="Palatino Linotype"/>
                <w:b/>
              </w:rPr>
              <w:t>Permanent</w:t>
            </w:r>
          </w:p>
        </w:tc>
        <w:tc>
          <w:tcPr>
            <w:tcW w:w="1504" w:type="dxa"/>
          </w:tcPr>
          <w:p w:rsidR="00102079" w:rsidRPr="003E5F7B" w:rsidRDefault="00102079" w:rsidP="00F80E85">
            <w:pPr>
              <w:jc w:val="center"/>
              <w:rPr>
                <w:rFonts w:ascii="Palatino Linotype" w:hAnsi="Palatino Linotype"/>
                <w:b/>
              </w:rPr>
            </w:pPr>
            <w:r w:rsidRPr="003E5F7B">
              <w:rPr>
                <w:rFonts w:ascii="Palatino Linotype" w:hAnsi="Palatino Linotype"/>
                <w:b/>
              </w:rPr>
              <w:t>Term</w:t>
            </w:r>
          </w:p>
        </w:tc>
        <w:tc>
          <w:tcPr>
            <w:tcW w:w="2160" w:type="dxa"/>
          </w:tcPr>
          <w:p w:rsidR="00102079" w:rsidRPr="003E5F7B" w:rsidRDefault="00102079" w:rsidP="00F80E85">
            <w:pPr>
              <w:jc w:val="center"/>
              <w:rPr>
                <w:rFonts w:ascii="Palatino Linotype" w:hAnsi="Palatino Linotype"/>
                <w:b/>
              </w:rPr>
            </w:pPr>
            <w:r w:rsidRPr="003E5F7B">
              <w:rPr>
                <w:rFonts w:ascii="Palatino Linotype" w:hAnsi="Palatino Linotype"/>
                <w:b/>
              </w:rPr>
              <w:t>Temporary</w:t>
            </w:r>
          </w:p>
        </w:tc>
      </w:tr>
      <w:tr w:rsidR="00102079" w:rsidRPr="003E5F7B" w:rsidTr="00F80E85">
        <w:trPr>
          <w:jc w:val="center"/>
        </w:trPr>
        <w:tc>
          <w:tcPr>
            <w:tcW w:w="4876" w:type="dxa"/>
            <w:gridSpan w:val="3"/>
          </w:tcPr>
          <w:p w:rsidR="00102079" w:rsidRDefault="00102079" w:rsidP="00F80E85">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 xml:space="preserve">Type of Schedule if Government </w:t>
            </w:r>
            <w:r>
              <w:rPr>
                <w:rFonts w:ascii="Palatino Linotype" w:hAnsi="Palatino Linotype"/>
                <w:b/>
                <w:color w:val="808080"/>
              </w:rPr>
              <w:t xml:space="preserve">   </w:t>
            </w:r>
          </w:p>
          <w:p w:rsidR="00102079" w:rsidRPr="003E5F7B" w:rsidRDefault="00102079" w:rsidP="00F80E85">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Employee</w:t>
            </w:r>
          </w:p>
        </w:tc>
        <w:tc>
          <w:tcPr>
            <w:tcW w:w="1648" w:type="dxa"/>
            <w:gridSpan w:val="3"/>
          </w:tcPr>
          <w:p w:rsidR="00102079" w:rsidRPr="003E5F7B" w:rsidRDefault="00102079" w:rsidP="00F80E85">
            <w:pPr>
              <w:jc w:val="center"/>
              <w:rPr>
                <w:rFonts w:ascii="Palatino Linotype" w:hAnsi="Palatino Linotype"/>
                <w:b/>
              </w:rPr>
            </w:pPr>
            <w:r w:rsidRPr="003E5F7B">
              <w:rPr>
                <w:rFonts w:ascii="Palatino Linotype" w:hAnsi="Palatino Linotype"/>
                <w:b/>
              </w:rPr>
              <w:t>Full-time</w:t>
            </w:r>
          </w:p>
        </w:tc>
        <w:tc>
          <w:tcPr>
            <w:tcW w:w="1504" w:type="dxa"/>
          </w:tcPr>
          <w:p w:rsidR="00102079" w:rsidRPr="003E5F7B" w:rsidRDefault="00102079" w:rsidP="00F80E85">
            <w:pPr>
              <w:jc w:val="center"/>
              <w:rPr>
                <w:rFonts w:ascii="Palatino Linotype" w:hAnsi="Palatino Linotype"/>
                <w:b/>
              </w:rPr>
            </w:pPr>
            <w:r w:rsidRPr="003E5F7B">
              <w:rPr>
                <w:rFonts w:ascii="Palatino Linotype" w:hAnsi="Palatino Linotype"/>
                <w:b/>
              </w:rPr>
              <w:t>Part-time</w:t>
            </w:r>
          </w:p>
        </w:tc>
        <w:tc>
          <w:tcPr>
            <w:tcW w:w="2160" w:type="dxa"/>
          </w:tcPr>
          <w:p w:rsidR="00102079" w:rsidRPr="003E5F7B" w:rsidRDefault="00102079" w:rsidP="00F80E85">
            <w:pPr>
              <w:jc w:val="center"/>
              <w:rPr>
                <w:rFonts w:ascii="Palatino Linotype" w:hAnsi="Palatino Linotype"/>
                <w:b/>
              </w:rPr>
            </w:pPr>
            <w:r w:rsidRPr="003E5F7B">
              <w:rPr>
                <w:rFonts w:ascii="Palatino Linotype" w:hAnsi="Palatino Linotype"/>
                <w:b/>
              </w:rPr>
              <w:t>Intermittent</w:t>
            </w:r>
          </w:p>
        </w:tc>
      </w:tr>
      <w:tr w:rsidR="00102079" w:rsidRPr="003E5F7B" w:rsidTr="00F80E85">
        <w:trPr>
          <w:jc w:val="center"/>
        </w:trPr>
        <w:tc>
          <w:tcPr>
            <w:tcW w:w="10188" w:type="dxa"/>
            <w:gridSpan w:val="8"/>
          </w:tcPr>
          <w:p w:rsidR="00102079" w:rsidRPr="003E5F7B" w:rsidRDefault="00102079" w:rsidP="00F80E85">
            <w:pPr>
              <w:rPr>
                <w:rFonts w:ascii="Bookman Old Style" w:hAnsi="Bookman Old Style"/>
                <w:color w:val="333333"/>
              </w:rPr>
            </w:pPr>
            <w:r w:rsidRPr="003E5F7B">
              <w:rPr>
                <w:rFonts w:ascii="Bookman Old Style" w:hAnsi="Bookman Old Style"/>
                <w:color w:val="333333"/>
              </w:rPr>
              <w:t>If you are not a current permanent (career or career conditional) employee, are you eligible for appointment under any of the following special authorities (check the appropriate box):</w:t>
            </w:r>
          </w:p>
        </w:tc>
      </w:tr>
      <w:tr w:rsidR="00102079" w:rsidRPr="003E5F7B" w:rsidTr="00F80E85">
        <w:trPr>
          <w:jc w:val="center"/>
        </w:trPr>
        <w:tc>
          <w:tcPr>
            <w:tcW w:w="2167" w:type="dxa"/>
          </w:tcPr>
          <w:p w:rsidR="00102079" w:rsidRPr="003E5F7B" w:rsidRDefault="00102079" w:rsidP="00F80E85">
            <w:pPr>
              <w:rPr>
                <w:rFonts w:ascii="Bookman Old Style" w:hAnsi="Bookman Old Style"/>
              </w:rPr>
            </w:pPr>
          </w:p>
        </w:tc>
        <w:tc>
          <w:tcPr>
            <w:tcW w:w="8021" w:type="dxa"/>
            <w:gridSpan w:val="7"/>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Person with Disabilities</w:t>
            </w:r>
          </w:p>
        </w:tc>
      </w:tr>
      <w:tr w:rsidR="00102079" w:rsidRPr="003E5F7B" w:rsidTr="00F80E85">
        <w:trPr>
          <w:jc w:val="center"/>
        </w:trPr>
        <w:tc>
          <w:tcPr>
            <w:tcW w:w="2167" w:type="dxa"/>
          </w:tcPr>
          <w:p w:rsidR="00102079" w:rsidRPr="003E5F7B" w:rsidRDefault="00102079" w:rsidP="00F80E85">
            <w:pPr>
              <w:rPr>
                <w:rFonts w:ascii="Bookman Old Style" w:hAnsi="Bookman Old Style"/>
              </w:rPr>
            </w:pPr>
          </w:p>
        </w:tc>
        <w:tc>
          <w:tcPr>
            <w:tcW w:w="8021" w:type="dxa"/>
            <w:gridSpan w:val="7"/>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Veteran</w:t>
            </w:r>
            <w:r>
              <w:rPr>
                <w:rFonts w:ascii="Palatino Linotype" w:hAnsi="Palatino Linotype"/>
                <w:b/>
                <w:color w:val="808080"/>
              </w:rPr>
              <w:t>’s</w:t>
            </w:r>
            <w:r w:rsidRPr="003E5F7B">
              <w:rPr>
                <w:rFonts w:ascii="Palatino Linotype" w:hAnsi="Palatino Linotype"/>
                <w:b/>
                <w:color w:val="808080"/>
              </w:rPr>
              <w:t xml:space="preserve"> </w:t>
            </w:r>
            <w:r>
              <w:rPr>
                <w:rFonts w:ascii="Palatino Linotype" w:hAnsi="Palatino Linotype"/>
                <w:b/>
                <w:color w:val="808080"/>
              </w:rPr>
              <w:t>Recruitment Act</w:t>
            </w:r>
          </w:p>
        </w:tc>
      </w:tr>
      <w:tr w:rsidR="00102079" w:rsidRPr="003E5F7B" w:rsidTr="00F80E85">
        <w:trPr>
          <w:jc w:val="center"/>
        </w:trPr>
        <w:tc>
          <w:tcPr>
            <w:tcW w:w="2167" w:type="dxa"/>
          </w:tcPr>
          <w:p w:rsidR="00102079" w:rsidRPr="003E5F7B" w:rsidRDefault="00102079" w:rsidP="00F80E85">
            <w:pPr>
              <w:rPr>
                <w:rFonts w:ascii="Bookman Old Style" w:hAnsi="Bookman Old Style"/>
              </w:rPr>
            </w:pPr>
          </w:p>
        </w:tc>
        <w:tc>
          <w:tcPr>
            <w:tcW w:w="8021" w:type="dxa"/>
            <w:gridSpan w:val="7"/>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Former Peace Corps Volunteer</w:t>
            </w:r>
          </w:p>
        </w:tc>
      </w:tr>
      <w:tr w:rsidR="00102079" w:rsidRPr="003E5F7B" w:rsidTr="00F80E85">
        <w:trPr>
          <w:jc w:val="center"/>
        </w:trPr>
        <w:tc>
          <w:tcPr>
            <w:tcW w:w="2167" w:type="dxa"/>
          </w:tcPr>
          <w:p w:rsidR="00102079" w:rsidRPr="003E5F7B" w:rsidRDefault="00102079" w:rsidP="00F80E85">
            <w:pPr>
              <w:rPr>
                <w:rFonts w:ascii="Bookman Old Style" w:hAnsi="Bookman Old Style"/>
              </w:rPr>
            </w:pPr>
          </w:p>
        </w:tc>
        <w:tc>
          <w:tcPr>
            <w:tcW w:w="8021" w:type="dxa"/>
            <w:gridSpan w:val="7"/>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Disabled Veteran with 30% Compensable Disability</w:t>
            </w:r>
          </w:p>
        </w:tc>
      </w:tr>
      <w:tr w:rsidR="00102079" w:rsidRPr="003E5F7B" w:rsidTr="00F80E85">
        <w:trPr>
          <w:jc w:val="center"/>
        </w:trPr>
        <w:tc>
          <w:tcPr>
            <w:tcW w:w="2167" w:type="dxa"/>
          </w:tcPr>
          <w:p w:rsidR="00102079" w:rsidRPr="003E5F7B" w:rsidRDefault="00102079" w:rsidP="00F80E85">
            <w:pPr>
              <w:rPr>
                <w:rFonts w:ascii="Bookman Old Style" w:hAnsi="Bookman Old Style"/>
              </w:rPr>
            </w:pPr>
          </w:p>
        </w:tc>
        <w:tc>
          <w:tcPr>
            <w:tcW w:w="8021" w:type="dxa"/>
            <w:gridSpan w:val="7"/>
          </w:tcPr>
          <w:p w:rsidR="00102079" w:rsidRPr="00EB45DD" w:rsidRDefault="00102079" w:rsidP="00F80E85">
            <w:pPr>
              <w:rPr>
                <w:rFonts w:ascii="Palatino Linotype" w:hAnsi="Palatino Linotype"/>
                <w:b/>
                <w:color w:val="808080"/>
              </w:rPr>
            </w:pPr>
            <w:r w:rsidRPr="00EB45DD">
              <w:rPr>
                <w:rFonts w:ascii="Palatino Linotype" w:hAnsi="Palatino Linotype"/>
                <w:b/>
                <w:color w:val="808080" w:themeColor="background1" w:themeShade="80"/>
              </w:rPr>
              <w:t>Pathways Program (Students &amp; Recent Graduates):</w:t>
            </w:r>
          </w:p>
        </w:tc>
      </w:tr>
      <w:tr w:rsidR="00102079" w:rsidRPr="003E5F7B" w:rsidTr="00F80E85">
        <w:trPr>
          <w:jc w:val="center"/>
        </w:trPr>
        <w:tc>
          <w:tcPr>
            <w:tcW w:w="2167" w:type="dxa"/>
          </w:tcPr>
          <w:p w:rsidR="00102079" w:rsidRPr="003E5F7B" w:rsidRDefault="00102079" w:rsidP="00F80E85">
            <w:pPr>
              <w:rPr>
                <w:rFonts w:ascii="Bookman Old Style" w:hAnsi="Bookman Old Style"/>
              </w:rPr>
            </w:pPr>
          </w:p>
        </w:tc>
        <w:tc>
          <w:tcPr>
            <w:tcW w:w="8021" w:type="dxa"/>
            <w:gridSpan w:val="7"/>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Veteran</w:t>
            </w:r>
            <w:r>
              <w:rPr>
                <w:rFonts w:ascii="Palatino Linotype" w:hAnsi="Palatino Linotype"/>
                <w:b/>
                <w:color w:val="808080"/>
              </w:rPr>
              <w:t>s Employment Opportunities Act o</w:t>
            </w:r>
            <w:r w:rsidRPr="003E5F7B">
              <w:rPr>
                <w:rFonts w:ascii="Palatino Linotype" w:hAnsi="Palatino Linotype"/>
                <w:b/>
                <w:color w:val="808080"/>
              </w:rPr>
              <w:t>f 1998</w:t>
            </w:r>
          </w:p>
        </w:tc>
      </w:tr>
      <w:tr w:rsidR="00102079" w:rsidRPr="003E5F7B" w:rsidTr="00F80E85">
        <w:trPr>
          <w:jc w:val="center"/>
        </w:trPr>
        <w:tc>
          <w:tcPr>
            <w:tcW w:w="2167" w:type="dxa"/>
          </w:tcPr>
          <w:p w:rsidR="00102079" w:rsidRPr="003E5F7B" w:rsidRDefault="00102079" w:rsidP="00F80E85">
            <w:pPr>
              <w:rPr>
                <w:rFonts w:ascii="Bookman Old Style" w:hAnsi="Bookman Old Style"/>
              </w:rPr>
            </w:pPr>
          </w:p>
        </w:tc>
        <w:tc>
          <w:tcPr>
            <w:tcW w:w="3904" w:type="dxa"/>
            <w:gridSpan w:val="3"/>
          </w:tcPr>
          <w:p w:rsidR="00102079" w:rsidRPr="003E5F7B" w:rsidRDefault="00102079" w:rsidP="00F80E85">
            <w:pPr>
              <w:rPr>
                <w:rFonts w:ascii="Palatino Linotype" w:hAnsi="Palatino Linotype"/>
                <w:b/>
                <w:color w:val="808080"/>
              </w:rPr>
            </w:pPr>
            <w:r w:rsidRPr="003E5F7B">
              <w:rPr>
                <w:rFonts w:ascii="Palatino Linotype" w:hAnsi="Palatino Linotype"/>
                <w:b/>
                <w:color w:val="808080"/>
              </w:rPr>
              <w:t>Other, please describe:</w:t>
            </w:r>
          </w:p>
        </w:tc>
        <w:tc>
          <w:tcPr>
            <w:tcW w:w="4117" w:type="dxa"/>
            <w:gridSpan w:val="4"/>
          </w:tcPr>
          <w:p w:rsidR="00102079" w:rsidRPr="003E5F7B" w:rsidRDefault="00102079" w:rsidP="00F80E85">
            <w:pPr>
              <w:rPr>
                <w:rFonts w:ascii="Bookman Old Style" w:hAnsi="Bookman Old Style"/>
                <w:color w:val="808080"/>
              </w:rPr>
            </w:pPr>
          </w:p>
        </w:tc>
      </w:tr>
    </w:tbl>
    <w:p w:rsidR="001136BB" w:rsidRDefault="001136BB" w:rsidP="00D0341D">
      <w:pPr>
        <w:pStyle w:val="BodyText"/>
        <w:rPr>
          <w:bCs/>
          <w:sz w:val="24"/>
        </w:rPr>
      </w:pPr>
    </w:p>
    <w:sectPr w:rsidR="001136BB" w:rsidSect="00C14889">
      <w:pgSz w:w="12240" w:h="15840"/>
      <w:pgMar w:top="806" w:right="907"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2CFC"/>
    <w:multiLevelType w:val="hybridMultilevel"/>
    <w:tmpl w:val="E77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3B3AD4"/>
    <w:multiLevelType w:val="hybridMultilevel"/>
    <w:tmpl w:val="3C0CE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23"/>
    <w:rsid w:val="0002107E"/>
    <w:rsid w:val="00030619"/>
    <w:rsid w:val="00031006"/>
    <w:rsid w:val="000E6B72"/>
    <w:rsid w:val="000F19BD"/>
    <w:rsid w:val="000F6A59"/>
    <w:rsid w:val="001016A1"/>
    <w:rsid w:val="00102079"/>
    <w:rsid w:val="001136BB"/>
    <w:rsid w:val="0012597A"/>
    <w:rsid w:val="001502C5"/>
    <w:rsid w:val="001706D2"/>
    <w:rsid w:val="001B5619"/>
    <w:rsid w:val="001C613D"/>
    <w:rsid w:val="001F5393"/>
    <w:rsid w:val="00252C1A"/>
    <w:rsid w:val="00253048"/>
    <w:rsid w:val="00261A2A"/>
    <w:rsid w:val="00262183"/>
    <w:rsid w:val="00270CF5"/>
    <w:rsid w:val="002A299B"/>
    <w:rsid w:val="002B3707"/>
    <w:rsid w:val="0033425A"/>
    <w:rsid w:val="00350A83"/>
    <w:rsid w:val="00380F36"/>
    <w:rsid w:val="003B7C1A"/>
    <w:rsid w:val="003E440A"/>
    <w:rsid w:val="004351E0"/>
    <w:rsid w:val="005238A7"/>
    <w:rsid w:val="00527728"/>
    <w:rsid w:val="00571B79"/>
    <w:rsid w:val="005A5EBC"/>
    <w:rsid w:val="005E7E4E"/>
    <w:rsid w:val="00600001"/>
    <w:rsid w:val="0063455C"/>
    <w:rsid w:val="0063673B"/>
    <w:rsid w:val="00684879"/>
    <w:rsid w:val="00694821"/>
    <w:rsid w:val="006A5B61"/>
    <w:rsid w:val="006A605A"/>
    <w:rsid w:val="006C5C17"/>
    <w:rsid w:val="006D786D"/>
    <w:rsid w:val="006F6F4C"/>
    <w:rsid w:val="007421DD"/>
    <w:rsid w:val="0078047D"/>
    <w:rsid w:val="007D02C9"/>
    <w:rsid w:val="007D2375"/>
    <w:rsid w:val="00812511"/>
    <w:rsid w:val="008359B8"/>
    <w:rsid w:val="0085293F"/>
    <w:rsid w:val="008659EA"/>
    <w:rsid w:val="008713F9"/>
    <w:rsid w:val="008735D6"/>
    <w:rsid w:val="00881BC3"/>
    <w:rsid w:val="008A477B"/>
    <w:rsid w:val="008C779B"/>
    <w:rsid w:val="00916834"/>
    <w:rsid w:val="00966134"/>
    <w:rsid w:val="0099581E"/>
    <w:rsid w:val="009C50D7"/>
    <w:rsid w:val="00A27608"/>
    <w:rsid w:val="00A76ED1"/>
    <w:rsid w:val="00A939D3"/>
    <w:rsid w:val="00AE22F5"/>
    <w:rsid w:val="00AE4FA1"/>
    <w:rsid w:val="00AE5D3C"/>
    <w:rsid w:val="00AF613F"/>
    <w:rsid w:val="00B17FDE"/>
    <w:rsid w:val="00B470D8"/>
    <w:rsid w:val="00BD78F5"/>
    <w:rsid w:val="00BE3899"/>
    <w:rsid w:val="00BF7E07"/>
    <w:rsid w:val="00C073D1"/>
    <w:rsid w:val="00C14889"/>
    <w:rsid w:val="00C33ED9"/>
    <w:rsid w:val="00C350E7"/>
    <w:rsid w:val="00C47628"/>
    <w:rsid w:val="00C82121"/>
    <w:rsid w:val="00C84F73"/>
    <w:rsid w:val="00C92221"/>
    <w:rsid w:val="00C92CA4"/>
    <w:rsid w:val="00C97DBD"/>
    <w:rsid w:val="00CF4107"/>
    <w:rsid w:val="00D0341D"/>
    <w:rsid w:val="00D14363"/>
    <w:rsid w:val="00D22705"/>
    <w:rsid w:val="00D42B0D"/>
    <w:rsid w:val="00D722A1"/>
    <w:rsid w:val="00DB24E5"/>
    <w:rsid w:val="00DD48BA"/>
    <w:rsid w:val="00E04823"/>
    <w:rsid w:val="00E22E1E"/>
    <w:rsid w:val="00E369CF"/>
    <w:rsid w:val="00E40037"/>
    <w:rsid w:val="00E465A1"/>
    <w:rsid w:val="00E50623"/>
    <w:rsid w:val="00E5333E"/>
    <w:rsid w:val="00E875D7"/>
    <w:rsid w:val="00EA4BF8"/>
    <w:rsid w:val="00EB5845"/>
    <w:rsid w:val="00F12B23"/>
    <w:rsid w:val="00F27E73"/>
    <w:rsid w:val="00F4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823"/>
    <w:pPr>
      <w:keepNext/>
      <w:jc w:val="center"/>
      <w:outlineLvl w:val="0"/>
    </w:pPr>
    <w:rPr>
      <w:b/>
      <w:bCs/>
      <w:sz w:val="36"/>
    </w:rPr>
  </w:style>
  <w:style w:type="paragraph" w:styleId="Heading2">
    <w:name w:val="heading 2"/>
    <w:basedOn w:val="Normal"/>
    <w:next w:val="Normal"/>
    <w:link w:val="Heading2Char"/>
    <w:qFormat/>
    <w:rsid w:val="00E04823"/>
    <w:pPr>
      <w:keepNext/>
      <w:jc w:val="center"/>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823"/>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E04823"/>
    <w:rPr>
      <w:rFonts w:ascii="Times New Roman" w:eastAsia="Times New Roman" w:hAnsi="Times New Roman" w:cs="Times New Roman"/>
      <w:b/>
      <w:bCs/>
      <w:i/>
      <w:iCs/>
      <w:sz w:val="36"/>
      <w:szCs w:val="24"/>
    </w:rPr>
  </w:style>
  <w:style w:type="paragraph" w:styleId="Title">
    <w:name w:val="Title"/>
    <w:basedOn w:val="Normal"/>
    <w:link w:val="TitleChar"/>
    <w:qFormat/>
    <w:rsid w:val="00E04823"/>
    <w:pPr>
      <w:jc w:val="center"/>
    </w:pPr>
    <w:rPr>
      <w:i/>
      <w:iCs/>
    </w:rPr>
  </w:style>
  <w:style w:type="character" w:customStyle="1" w:styleId="TitleChar">
    <w:name w:val="Title Char"/>
    <w:basedOn w:val="DefaultParagraphFont"/>
    <w:link w:val="Title"/>
    <w:rsid w:val="00E04823"/>
    <w:rPr>
      <w:rFonts w:ascii="Times New Roman" w:eastAsia="Times New Roman" w:hAnsi="Times New Roman" w:cs="Times New Roman"/>
      <w:i/>
      <w:iCs/>
      <w:sz w:val="24"/>
      <w:szCs w:val="24"/>
    </w:rPr>
  </w:style>
  <w:style w:type="paragraph" w:styleId="BodyText">
    <w:name w:val="Body Text"/>
    <w:basedOn w:val="Normal"/>
    <w:link w:val="BodyTextChar"/>
    <w:rsid w:val="00E04823"/>
    <w:rPr>
      <w:sz w:val="28"/>
    </w:rPr>
  </w:style>
  <w:style w:type="character" w:customStyle="1" w:styleId="BodyTextChar">
    <w:name w:val="Body Text Char"/>
    <w:basedOn w:val="DefaultParagraphFont"/>
    <w:link w:val="BodyText"/>
    <w:rsid w:val="00E04823"/>
    <w:rPr>
      <w:rFonts w:ascii="Times New Roman" w:eastAsia="Times New Roman" w:hAnsi="Times New Roman" w:cs="Times New Roman"/>
      <w:sz w:val="28"/>
      <w:szCs w:val="24"/>
    </w:rPr>
  </w:style>
  <w:style w:type="paragraph" w:styleId="NormalWeb">
    <w:name w:val="Normal (Web)"/>
    <w:basedOn w:val="Normal"/>
    <w:uiPriority w:val="99"/>
    <w:rsid w:val="00E04823"/>
    <w:pPr>
      <w:spacing w:before="100" w:beforeAutospacing="1" w:after="100" w:afterAutospacing="1"/>
    </w:pPr>
    <w:rPr>
      <w:rFonts w:ascii="Times" w:hAnsi="Times"/>
    </w:rPr>
  </w:style>
  <w:style w:type="table" w:styleId="TableGrid">
    <w:name w:val="Table Grid"/>
    <w:basedOn w:val="TableNormal"/>
    <w:rsid w:val="00E04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4823"/>
    <w:rPr>
      <w:color w:val="0000FF"/>
      <w:u w:val="single"/>
    </w:rPr>
  </w:style>
  <w:style w:type="character" w:customStyle="1" w:styleId="mnscolumntext1">
    <w:name w:val="mnscolumntext1"/>
    <w:basedOn w:val="DefaultParagraphFont"/>
    <w:rsid w:val="00E04823"/>
    <w:rPr>
      <w:rFonts w:ascii="Verdana" w:hAnsi="Verdana" w:hint="default"/>
      <w:b w:val="0"/>
      <w:bCs w:val="0"/>
      <w:sz w:val="16"/>
      <w:szCs w:val="16"/>
    </w:rPr>
  </w:style>
  <w:style w:type="paragraph" w:styleId="BalloonText">
    <w:name w:val="Balloon Text"/>
    <w:basedOn w:val="Normal"/>
    <w:link w:val="BalloonTextChar"/>
    <w:uiPriority w:val="99"/>
    <w:semiHidden/>
    <w:unhideWhenUsed/>
    <w:rsid w:val="00E04823"/>
    <w:rPr>
      <w:rFonts w:ascii="Tahoma" w:hAnsi="Tahoma" w:cs="Tahoma"/>
      <w:sz w:val="16"/>
      <w:szCs w:val="16"/>
    </w:rPr>
  </w:style>
  <w:style w:type="character" w:customStyle="1" w:styleId="BalloonTextChar">
    <w:name w:val="Balloon Text Char"/>
    <w:basedOn w:val="DefaultParagraphFont"/>
    <w:link w:val="BalloonText"/>
    <w:uiPriority w:val="99"/>
    <w:semiHidden/>
    <w:rsid w:val="00E04823"/>
    <w:rPr>
      <w:rFonts w:ascii="Tahoma" w:eastAsia="Times New Roman" w:hAnsi="Tahoma" w:cs="Tahoma"/>
      <w:sz w:val="16"/>
      <w:szCs w:val="16"/>
    </w:rPr>
  </w:style>
  <w:style w:type="paragraph" w:customStyle="1" w:styleId="wppara">
    <w:name w:val="wppara"/>
    <w:basedOn w:val="Normal"/>
    <w:rsid w:val="00C073D1"/>
    <w:pPr>
      <w:widowControl w:val="0"/>
      <w:tabs>
        <w:tab w:val="left" w:pos="720"/>
        <w:tab w:val="left" w:pos="1440"/>
        <w:tab w:val="left" w:pos="2160"/>
      </w:tabs>
      <w:autoSpaceDE w:val="0"/>
      <w:autoSpaceDN w:val="0"/>
      <w:adjustRightInd w:val="0"/>
      <w:spacing w:line="287" w:lineRule="atLeast"/>
      <w:jc w:val="both"/>
    </w:pPr>
    <w:rPr>
      <w:rFonts w:ascii="Times" w:hAnsi="Times"/>
      <w:noProof/>
      <w:color w:val="000000"/>
    </w:rPr>
  </w:style>
  <w:style w:type="paragraph" w:customStyle="1" w:styleId="Cell">
    <w:name w:val="Cell"/>
    <w:basedOn w:val="Normal"/>
    <w:rsid w:val="00C92221"/>
    <w:pPr>
      <w:widowControl w:val="0"/>
      <w:autoSpaceDE w:val="0"/>
      <w:autoSpaceDN w:val="0"/>
      <w:adjustRightInd w:val="0"/>
    </w:pPr>
    <w:rPr>
      <w:rFonts w:ascii="Times" w:hAnsi="Times"/>
      <w:noProof/>
      <w:color w:val="000000"/>
    </w:rPr>
  </w:style>
  <w:style w:type="paragraph" w:styleId="BodyTextIndent">
    <w:name w:val="Body Text Indent"/>
    <w:basedOn w:val="Normal"/>
    <w:link w:val="BodyTextIndentChar"/>
    <w:uiPriority w:val="99"/>
    <w:semiHidden/>
    <w:unhideWhenUsed/>
    <w:rsid w:val="00C33ED9"/>
    <w:pPr>
      <w:spacing w:after="120"/>
      <w:ind w:left="360"/>
    </w:pPr>
  </w:style>
  <w:style w:type="character" w:customStyle="1" w:styleId="BodyTextIndentChar">
    <w:name w:val="Body Text Indent Char"/>
    <w:basedOn w:val="DefaultParagraphFont"/>
    <w:link w:val="BodyTextIndent"/>
    <w:uiPriority w:val="99"/>
    <w:semiHidden/>
    <w:rsid w:val="00C33ED9"/>
    <w:rPr>
      <w:rFonts w:ascii="Times New Roman" w:eastAsia="Times New Roman" w:hAnsi="Times New Roman" w:cs="Times New Roman"/>
      <w:sz w:val="24"/>
      <w:szCs w:val="24"/>
    </w:rPr>
  </w:style>
  <w:style w:type="character" w:customStyle="1" w:styleId="subheader1">
    <w:name w:val="subheader1"/>
    <w:basedOn w:val="DefaultParagraphFont"/>
    <w:uiPriority w:val="99"/>
    <w:rsid w:val="00571B79"/>
    <w:rPr>
      <w:rFonts w:ascii="Arial" w:hAnsi="Arial" w:cs="Arial"/>
      <w:b/>
      <w:bCs/>
      <w:sz w:val="24"/>
      <w:szCs w:val="24"/>
    </w:rPr>
  </w:style>
  <w:style w:type="character" w:customStyle="1" w:styleId="bold2">
    <w:name w:val="bold2"/>
    <w:basedOn w:val="DefaultParagraphFont"/>
    <w:uiPriority w:val="99"/>
    <w:rsid w:val="00571B79"/>
    <w:rPr>
      <w:rFonts w:ascii="Arial" w:hAnsi="Arial" w:cs="Arial"/>
      <w:b/>
      <w:bCs/>
      <w:sz w:val="20"/>
      <w:szCs w:val="20"/>
    </w:rPr>
  </w:style>
  <w:style w:type="character" w:styleId="HTMLCite">
    <w:name w:val="HTML Cite"/>
    <w:basedOn w:val="DefaultParagraphFont"/>
    <w:uiPriority w:val="99"/>
    <w:semiHidden/>
    <w:unhideWhenUsed/>
    <w:rsid w:val="007D02C9"/>
    <w:rPr>
      <w:i w:val="0"/>
      <w:iCs w:val="0"/>
      <w:color w:val="388222"/>
    </w:rPr>
  </w:style>
  <w:style w:type="paragraph" w:styleId="NoSpacing">
    <w:name w:val="No Spacing"/>
    <w:uiPriority w:val="1"/>
    <w:qFormat/>
    <w:rsid w:val="005277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823"/>
    <w:pPr>
      <w:keepNext/>
      <w:jc w:val="center"/>
      <w:outlineLvl w:val="0"/>
    </w:pPr>
    <w:rPr>
      <w:b/>
      <w:bCs/>
      <w:sz w:val="36"/>
    </w:rPr>
  </w:style>
  <w:style w:type="paragraph" w:styleId="Heading2">
    <w:name w:val="heading 2"/>
    <w:basedOn w:val="Normal"/>
    <w:next w:val="Normal"/>
    <w:link w:val="Heading2Char"/>
    <w:qFormat/>
    <w:rsid w:val="00E04823"/>
    <w:pPr>
      <w:keepNext/>
      <w:jc w:val="center"/>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823"/>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E04823"/>
    <w:rPr>
      <w:rFonts w:ascii="Times New Roman" w:eastAsia="Times New Roman" w:hAnsi="Times New Roman" w:cs="Times New Roman"/>
      <w:b/>
      <w:bCs/>
      <w:i/>
      <w:iCs/>
      <w:sz w:val="36"/>
      <w:szCs w:val="24"/>
    </w:rPr>
  </w:style>
  <w:style w:type="paragraph" w:styleId="Title">
    <w:name w:val="Title"/>
    <w:basedOn w:val="Normal"/>
    <w:link w:val="TitleChar"/>
    <w:qFormat/>
    <w:rsid w:val="00E04823"/>
    <w:pPr>
      <w:jc w:val="center"/>
    </w:pPr>
    <w:rPr>
      <w:i/>
      <w:iCs/>
    </w:rPr>
  </w:style>
  <w:style w:type="character" w:customStyle="1" w:styleId="TitleChar">
    <w:name w:val="Title Char"/>
    <w:basedOn w:val="DefaultParagraphFont"/>
    <w:link w:val="Title"/>
    <w:rsid w:val="00E04823"/>
    <w:rPr>
      <w:rFonts w:ascii="Times New Roman" w:eastAsia="Times New Roman" w:hAnsi="Times New Roman" w:cs="Times New Roman"/>
      <w:i/>
      <w:iCs/>
      <w:sz w:val="24"/>
      <w:szCs w:val="24"/>
    </w:rPr>
  </w:style>
  <w:style w:type="paragraph" w:styleId="BodyText">
    <w:name w:val="Body Text"/>
    <w:basedOn w:val="Normal"/>
    <w:link w:val="BodyTextChar"/>
    <w:rsid w:val="00E04823"/>
    <w:rPr>
      <w:sz w:val="28"/>
    </w:rPr>
  </w:style>
  <w:style w:type="character" w:customStyle="1" w:styleId="BodyTextChar">
    <w:name w:val="Body Text Char"/>
    <w:basedOn w:val="DefaultParagraphFont"/>
    <w:link w:val="BodyText"/>
    <w:rsid w:val="00E04823"/>
    <w:rPr>
      <w:rFonts w:ascii="Times New Roman" w:eastAsia="Times New Roman" w:hAnsi="Times New Roman" w:cs="Times New Roman"/>
      <w:sz w:val="28"/>
      <w:szCs w:val="24"/>
    </w:rPr>
  </w:style>
  <w:style w:type="paragraph" w:styleId="NormalWeb">
    <w:name w:val="Normal (Web)"/>
    <w:basedOn w:val="Normal"/>
    <w:uiPriority w:val="99"/>
    <w:rsid w:val="00E04823"/>
    <w:pPr>
      <w:spacing w:before="100" w:beforeAutospacing="1" w:after="100" w:afterAutospacing="1"/>
    </w:pPr>
    <w:rPr>
      <w:rFonts w:ascii="Times" w:hAnsi="Times"/>
    </w:rPr>
  </w:style>
  <w:style w:type="table" w:styleId="TableGrid">
    <w:name w:val="Table Grid"/>
    <w:basedOn w:val="TableNormal"/>
    <w:rsid w:val="00E04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4823"/>
    <w:rPr>
      <w:color w:val="0000FF"/>
      <w:u w:val="single"/>
    </w:rPr>
  </w:style>
  <w:style w:type="character" w:customStyle="1" w:styleId="mnscolumntext1">
    <w:name w:val="mnscolumntext1"/>
    <w:basedOn w:val="DefaultParagraphFont"/>
    <w:rsid w:val="00E04823"/>
    <w:rPr>
      <w:rFonts w:ascii="Verdana" w:hAnsi="Verdana" w:hint="default"/>
      <w:b w:val="0"/>
      <w:bCs w:val="0"/>
      <w:sz w:val="16"/>
      <w:szCs w:val="16"/>
    </w:rPr>
  </w:style>
  <w:style w:type="paragraph" w:styleId="BalloonText">
    <w:name w:val="Balloon Text"/>
    <w:basedOn w:val="Normal"/>
    <w:link w:val="BalloonTextChar"/>
    <w:uiPriority w:val="99"/>
    <w:semiHidden/>
    <w:unhideWhenUsed/>
    <w:rsid w:val="00E04823"/>
    <w:rPr>
      <w:rFonts w:ascii="Tahoma" w:hAnsi="Tahoma" w:cs="Tahoma"/>
      <w:sz w:val="16"/>
      <w:szCs w:val="16"/>
    </w:rPr>
  </w:style>
  <w:style w:type="character" w:customStyle="1" w:styleId="BalloonTextChar">
    <w:name w:val="Balloon Text Char"/>
    <w:basedOn w:val="DefaultParagraphFont"/>
    <w:link w:val="BalloonText"/>
    <w:uiPriority w:val="99"/>
    <w:semiHidden/>
    <w:rsid w:val="00E04823"/>
    <w:rPr>
      <w:rFonts w:ascii="Tahoma" w:eastAsia="Times New Roman" w:hAnsi="Tahoma" w:cs="Tahoma"/>
      <w:sz w:val="16"/>
      <w:szCs w:val="16"/>
    </w:rPr>
  </w:style>
  <w:style w:type="paragraph" w:customStyle="1" w:styleId="wppara">
    <w:name w:val="wppara"/>
    <w:basedOn w:val="Normal"/>
    <w:rsid w:val="00C073D1"/>
    <w:pPr>
      <w:widowControl w:val="0"/>
      <w:tabs>
        <w:tab w:val="left" w:pos="720"/>
        <w:tab w:val="left" w:pos="1440"/>
        <w:tab w:val="left" w:pos="2160"/>
      </w:tabs>
      <w:autoSpaceDE w:val="0"/>
      <w:autoSpaceDN w:val="0"/>
      <w:adjustRightInd w:val="0"/>
      <w:spacing w:line="287" w:lineRule="atLeast"/>
      <w:jc w:val="both"/>
    </w:pPr>
    <w:rPr>
      <w:rFonts w:ascii="Times" w:hAnsi="Times"/>
      <w:noProof/>
      <w:color w:val="000000"/>
    </w:rPr>
  </w:style>
  <w:style w:type="paragraph" w:customStyle="1" w:styleId="Cell">
    <w:name w:val="Cell"/>
    <w:basedOn w:val="Normal"/>
    <w:rsid w:val="00C92221"/>
    <w:pPr>
      <w:widowControl w:val="0"/>
      <w:autoSpaceDE w:val="0"/>
      <w:autoSpaceDN w:val="0"/>
      <w:adjustRightInd w:val="0"/>
    </w:pPr>
    <w:rPr>
      <w:rFonts w:ascii="Times" w:hAnsi="Times"/>
      <w:noProof/>
      <w:color w:val="000000"/>
    </w:rPr>
  </w:style>
  <w:style w:type="paragraph" w:styleId="BodyTextIndent">
    <w:name w:val="Body Text Indent"/>
    <w:basedOn w:val="Normal"/>
    <w:link w:val="BodyTextIndentChar"/>
    <w:uiPriority w:val="99"/>
    <w:semiHidden/>
    <w:unhideWhenUsed/>
    <w:rsid w:val="00C33ED9"/>
    <w:pPr>
      <w:spacing w:after="120"/>
      <w:ind w:left="360"/>
    </w:pPr>
  </w:style>
  <w:style w:type="character" w:customStyle="1" w:styleId="BodyTextIndentChar">
    <w:name w:val="Body Text Indent Char"/>
    <w:basedOn w:val="DefaultParagraphFont"/>
    <w:link w:val="BodyTextIndent"/>
    <w:uiPriority w:val="99"/>
    <w:semiHidden/>
    <w:rsid w:val="00C33ED9"/>
    <w:rPr>
      <w:rFonts w:ascii="Times New Roman" w:eastAsia="Times New Roman" w:hAnsi="Times New Roman" w:cs="Times New Roman"/>
      <w:sz w:val="24"/>
      <w:szCs w:val="24"/>
    </w:rPr>
  </w:style>
  <w:style w:type="character" w:customStyle="1" w:styleId="subheader1">
    <w:name w:val="subheader1"/>
    <w:basedOn w:val="DefaultParagraphFont"/>
    <w:uiPriority w:val="99"/>
    <w:rsid w:val="00571B79"/>
    <w:rPr>
      <w:rFonts w:ascii="Arial" w:hAnsi="Arial" w:cs="Arial"/>
      <w:b/>
      <w:bCs/>
      <w:sz w:val="24"/>
      <w:szCs w:val="24"/>
    </w:rPr>
  </w:style>
  <w:style w:type="character" w:customStyle="1" w:styleId="bold2">
    <w:name w:val="bold2"/>
    <w:basedOn w:val="DefaultParagraphFont"/>
    <w:uiPriority w:val="99"/>
    <w:rsid w:val="00571B79"/>
    <w:rPr>
      <w:rFonts w:ascii="Arial" w:hAnsi="Arial" w:cs="Arial"/>
      <w:b/>
      <w:bCs/>
      <w:sz w:val="20"/>
      <w:szCs w:val="20"/>
    </w:rPr>
  </w:style>
  <w:style w:type="character" w:styleId="HTMLCite">
    <w:name w:val="HTML Cite"/>
    <w:basedOn w:val="DefaultParagraphFont"/>
    <w:uiPriority w:val="99"/>
    <w:semiHidden/>
    <w:unhideWhenUsed/>
    <w:rsid w:val="007D02C9"/>
    <w:rPr>
      <w:i w:val="0"/>
      <w:iCs w:val="0"/>
      <w:color w:val="388222"/>
    </w:rPr>
  </w:style>
  <w:style w:type="paragraph" w:styleId="NoSpacing">
    <w:name w:val="No Spacing"/>
    <w:uiPriority w:val="1"/>
    <w:qFormat/>
    <w:rsid w:val="00527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s.usda.gov/shawnee" TargetMode="External"/><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hawneetourism.com/"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manta.com/mb_51_ALL_4B2/carbondale_i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nta.com/mb?search=Marion+il" TargetMode="External"/><Relationship Id="rId20" Type="http://schemas.openxmlformats.org/officeDocument/2006/relationships/hyperlink" Target="http://salinecountychamber.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ajobs.gov" TargetMode="External"/><Relationship Id="rId24" Type="http://schemas.openxmlformats.org/officeDocument/2006/relationships/hyperlink" Target="mailto:akunzmann@fs.fed.us" TargetMode="External"/><Relationship Id="rId5" Type="http://schemas.openxmlformats.org/officeDocument/2006/relationships/webSettings" Target="webSettings.xml"/><Relationship Id="rId15" Type="http://schemas.openxmlformats.org/officeDocument/2006/relationships/hyperlink" Target="http://www.manta.com/mb?search=Harrisburg+il" TargetMode="External"/><Relationship Id="rId23" Type="http://schemas.openxmlformats.org/officeDocument/2006/relationships/hyperlink" Target="http://visitsi.com/" TargetMode="External"/><Relationship Id="rId10" Type="http://schemas.openxmlformats.org/officeDocument/2006/relationships/image" Target="media/image5.jpg"/><Relationship Id="rId19" Type="http://schemas.openxmlformats.org/officeDocument/2006/relationships/hyperlink" Target="http://marionillinoi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outhernmostillin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monicaneal</dc:creator>
  <cp:lastModifiedBy>USDA Forest Service</cp:lastModifiedBy>
  <cp:revision>2</cp:revision>
  <dcterms:created xsi:type="dcterms:W3CDTF">2014-10-24T20:48:00Z</dcterms:created>
  <dcterms:modified xsi:type="dcterms:W3CDTF">2014-10-24T20:48:00Z</dcterms:modified>
</cp:coreProperties>
</file>